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5FAD" w14:textId="6656E737" w:rsidR="00B11634" w:rsidRPr="00B11634" w:rsidRDefault="00B11634" w:rsidP="00B11634">
      <w:pPr>
        <w:pStyle w:val="NormalWeb"/>
        <w:spacing w:before="0" w:beforeAutospacing="0" w:after="396" w:afterAutospacing="0"/>
        <w:textAlignment w:val="baseline"/>
        <w:rPr>
          <w:rFonts w:ascii="Arial Nova" w:hAnsi="Arial Nova" w:cs="Segoe UI"/>
          <w:color w:val="3B3B3B"/>
          <w:sz w:val="24"/>
          <w:szCs w:val="24"/>
        </w:rPr>
      </w:pPr>
      <w:r w:rsidRPr="00B11634">
        <w:rPr>
          <w:rFonts w:ascii="Arial Nova" w:hAnsi="Arial Nova" w:cs="Segoe UI"/>
          <w:color w:val="3B3B3B"/>
          <w:sz w:val="24"/>
          <w:szCs w:val="24"/>
        </w:rPr>
        <w:t xml:space="preserve">UK healthcare companies have become a major target for private equity investors in recent years, according to a report earlier this year from consultancy </w:t>
      </w:r>
      <w:proofErr w:type="spellStart"/>
      <w:r w:rsidRPr="00B11634">
        <w:rPr>
          <w:rFonts w:ascii="Arial Nova" w:hAnsi="Arial Nova" w:cs="Segoe UI"/>
          <w:color w:val="3B3B3B"/>
          <w:sz w:val="24"/>
          <w:szCs w:val="24"/>
        </w:rPr>
        <w:t>La</w:t>
      </w:r>
      <w:r>
        <w:rPr>
          <w:rFonts w:ascii="Arial Nova" w:hAnsi="Arial Nova" w:cs="Segoe UI"/>
          <w:color w:val="3B3B3B"/>
          <w:sz w:val="24"/>
          <w:szCs w:val="24"/>
        </w:rPr>
        <w:t>i</w:t>
      </w:r>
      <w:r w:rsidRPr="00B11634">
        <w:rPr>
          <w:rFonts w:ascii="Arial Nova" w:hAnsi="Arial Nova" w:cs="Segoe UI"/>
          <w:color w:val="3B3B3B"/>
          <w:sz w:val="24"/>
          <w:szCs w:val="24"/>
        </w:rPr>
        <w:t>ngBuisson</w:t>
      </w:r>
      <w:proofErr w:type="spellEnd"/>
      <w:r w:rsidRPr="00B11634">
        <w:rPr>
          <w:rFonts w:ascii="Arial Nova" w:hAnsi="Arial Nova" w:cs="Segoe UI"/>
          <w:color w:val="3B3B3B"/>
          <w:sz w:val="24"/>
          <w:szCs w:val="24"/>
        </w:rPr>
        <w:t>, with 150 deals struck since 2021. </w:t>
      </w:r>
    </w:p>
    <w:p w14:paraId="338E5F6B" w14:textId="77777777" w:rsidR="00B11634" w:rsidRPr="00B11634" w:rsidRDefault="00B11634" w:rsidP="00B11634">
      <w:pPr>
        <w:pStyle w:val="NormalWeb"/>
        <w:spacing w:before="0" w:beforeAutospacing="0" w:after="0" w:afterAutospacing="0"/>
        <w:textAlignment w:val="baseline"/>
        <w:rPr>
          <w:rFonts w:ascii="Arial Nova" w:hAnsi="Arial Nova" w:cs="Segoe UI"/>
          <w:color w:val="3B3B3B"/>
          <w:sz w:val="24"/>
          <w:szCs w:val="24"/>
        </w:rPr>
      </w:pPr>
      <w:r w:rsidRPr="00B11634">
        <w:rPr>
          <w:rFonts w:ascii="Arial Nova" w:hAnsi="Arial Nova" w:cs="Segoe UI"/>
          <w:color w:val="3B3B3B"/>
          <w:sz w:val="24"/>
          <w:szCs w:val="24"/>
          <w:bdr w:val="none" w:sz="0" w:space="0" w:color="auto" w:frame="1"/>
        </w:rPr>
        <w:t> </w:t>
      </w:r>
    </w:p>
    <w:tbl>
      <w:tblPr>
        <w:tblW w:w="953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4"/>
        <w:gridCol w:w="3013"/>
        <w:gridCol w:w="3997"/>
      </w:tblGrid>
      <w:tr w:rsidR="00B11634" w:rsidRPr="00B11634" w14:paraId="075B2045" w14:textId="77777777" w:rsidTr="00B11634">
        <w:tc>
          <w:tcPr>
            <w:tcW w:w="2608" w:type="dxa"/>
            <w:gridSpan w:val="2"/>
            <w:shd w:val="clear" w:color="auto" w:fill="F2F2F2" w:themeFill="background1" w:themeFillShade="F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7EF511A" w14:textId="77777777" w:rsidR="00B11634" w:rsidRPr="00B11634" w:rsidRDefault="00B11634" w:rsidP="00B11634">
            <w:pPr>
              <w:jc w:val="center"/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b/>
                <w:bCs/>
                <w:sz w:val="24"/>
                <w:szCs w:val="24"/>
                <w:bdr w:val="none" w:sz="0" w:space="0" w:color="auto" w:frame="1"/>
              </w:rPr>
              <w:t>Company Name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3074C5B" w14:textId="50C7A497" w:rsidR="00B11634" w:rsidRPr="00B11634" w:rsidRDefault="00B11634" w:rsidP="00B11634">
            <w:pPr>
              <w:ind w:left="-108"/>
              <w:jc w:val="center"/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b/>
                <w:bCs/>
                <w:sz w:val="24"/>
                <w:szCs w:val="24"/>
                <w:bdr w:val="none" w:sz="0" w:space="0" w:color="auto" w:frame="1"/>
              </w:rPr>
              <w:t>Private equity company</w:t>
            </w:r>
          </w:p>
        </w:tc>
        <w:tc>
          <w:tcPr>
            <w:tcW w:w="4119" w:type="dxa"/>
            <w:shd w:val="clear" w:color="auto" w:fill="F2F2F2" w:themeFill="background1" w:themeFillShade="F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A0906EA" w14:textId="77777777" w:rsidR="00B11634" w:rsidRPr="00B11634" w:rsidRDefault="00B11634" w:rsidP="00B11634">
            <w:pPr>
              <w:jc w:val="center"/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b/>
                <w:bCs/>
                <w:sz w:val="24"/>
                <w:szCs w:val="24"/>
                <w:bdr w:val="none" w:sz="0" w:space="0" w:color="auto" w:frame="1"/>
              </w:rPr>
              <w:t>Area</w:t>
            </w:r>
          </w:p>
        </w:tc>
      </w:tr>
      <w:tr w:rsidR="00B11634" w:rsidRPr="00B11634" w14:paraId="38863064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DF1A1B3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The Priory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9D5376E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Waterland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3BC43EA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Mental Health</w:t>
            </w:r>
          </w:p>
        </w:tc>
      </w:tr>
      <w:tr w:rsidR="00B11634" w:rsidRPr="00B11634" w14:paraId="41AA5AE2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EFB31A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Active Care Group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5AC14BA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Montreux Healthcare Fund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5A40D98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Mental Health</w:t>
            </w:r>
          </w:p>
        </w:tc>
      </w:tr>
      <w:tr w:rsidR="00B11634" w:rsidRPr="00B11634" w14:paraId="40ED1F01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F6D61B3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Care UK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249E272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Bridgepoint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7812820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Care Homes</w:t>
            </w:r>
          </w:p>
        </w:tc>
      </w:tr>
      <w:tr w:rsidR="00B11634" w:rsidRPr="00B11634" w14:paraId="225EEFA3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3CB38DC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Practice Plus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651456A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Bridgepoint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6E09FCA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GP /diagnostics</w:t>
            </w:r>
          </w:p>
        </w:tc>
      </w:tr>
      <w:tr w:rsidR="00B11634" w:rsidRPr="00B11634" w14:paraId="417F25B0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F1BFF61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HCRG Care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0210ACC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Twenty20 Capital Ltd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EA816CA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Community Care</w:t>
            </w:r>
          </w:p>
        </w:tc>
      </w:tr>
      <w:tr w:rsidR="00B11634" w:rsidRPr="00B11634" w14:paraId="467C29EE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5D5B6C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Vita health Group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2D15146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Archimed</w:t>
            </w:r>
            <w:proofErr w:type="spellEnd"/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327BCA1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Mental Health</w:t>
            </w:r>
          </w:p>
        </w:tc>
      </w:tr>
      <w:tr w:rsidR="00B11634" w:rsidRPr="00B11634" w14:paraId="3076AC6E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461673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18 Week Support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7C1044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Summit Partners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2CD7E6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Insourcing/Elective surgery</w:t>
            </w:r>
          </w:p>
        </w:tc>
      </w:tr>
      <w:tr w:rsidR="00B11634" w:rsidRPr="00B11634" w14:paraId="2B35A9E0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3C1B33A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Cornerstone Healthcare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905ABE9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Ignite Growth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9A0DC70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Specialist care homes</w:t>
            </w:r>
          </w:p>
        </w:tc>
      </w:tr>
      <w:tr w:rsidR="00B11634" w:rsidRPr="00B11634" w14:paraId="23190D99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4C2D383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zec</w:t>
            </w:r>
            <w:proofErr w:type="spellEnd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 xml:space="preserve"> Medical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13919F7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Cairngorm Capital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6A5D640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Ambulance services</w:t>
            </w:r>
          </w:p>
        </w:tc>
      </w:tr>
      <w:tr w:rsidR="00B11634" w:rsidRPr="00B11634" w14:paraId="2ABE11CB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32B7C56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EMED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64DA9F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Cairngorm Capital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C7DA209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Ambulance services</w:t>
            </w:r>
          </w:p>
        </w:tc>
      </w:tr>
      <w:tr w:rsidR="00B11634" w:rsidRPr="00B11634" w14:paraId="2E2E034C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8BD64CC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Veonet</w:t>
            </w:r>
            <w:proofErr w:type="spellEnd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SpaMedica</w:t>
            </w:r>
            <w:proofErr w:type="spellEnd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4D0CDF5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PAI Partners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97A26C5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Ophthalmology</w:t>
            </w:r>
          </w:p>
        </w:tc>
      </w:tr>
      <w:tr w:rsidR="00B11634" w:rsidRPr="00B11634" w14:paraId="7C336B3A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6414923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Optegra</w:t>
            </w:r>
            <w:proofErr w:type="spellEnd"/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19F84FB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MidEuropa</w:t>
            </w:r>
            <w:proofErr w:type="spellEnd"/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FBD4CAD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Ophthalmology</w:t>
            </w:r>
          </w:p>
        </w:tc>
      </w:tr>
      <w:tr w:rsidR="00B11634" w:rsidRPr="00B11634" w14:paraId="3B7EF15E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BA5885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Diagnostic Healthcare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86BECE2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G Square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F6B894B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Diagnostics</w:t>
            </w:r>
          </w:p>
        </w:tc>
      </w:tr>
      <w:tr w:rsidR="00B11634" w:rsidRPr="00B11634" w14:paraId="35A1C374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FFE64F0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Community Health &amp; Eyecare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D731119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G Square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263B19E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Ophthalmology</w:t>
            </w:r>
          </w:p>
        </w:tc>
      </w:tr>
      <w:tr w:rsidR="00B11634" w:rsidRPr="00B11634" w14:paraId="173AACD9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9D416CE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Connected Health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87B9242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G Square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7A6DB5F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Home care</w:t>
            </w:r>
          </w:p>
        </w:tc>
      </w:tr>
      <w:tr w:rsidR="00B11634" w:rsidRPr="00B11634" w14:paraId="0ED0A414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105B26F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Together Dental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29B2F9B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G Square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67E1AA2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Dentistry</w:t>
            </w:r>
          </w:p>
        </w:tc>
      </w:tr>
      <w:tr w:rsidR="00B11634" w:rsidRPr="00B11634" w14:paraId="6C0755AD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53343F7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lastRenderedPageBreak/>
              <w:t>Accomplish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AC35D7B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G Square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3E6102D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Complex needs/mental health/learning and physical disabilities</w:t>
            </w:r>
          </w:p>
        </w:tc>
      </w:tr>
      <w:tr w:rsidR="00B11634" w:rsidRPr="00B11634" w14:paraId="74652B80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06ECB0D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Medacs</w:t>
            </w:r>
            <w:proofErr w:type="spellEnd"/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5709FA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Twenty20 Capital Ltd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CA94267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Staff recruitment</w:t>
            </w:r>
          </w:p>
        </w:tc>
      </w:tr>
      <w:tr w:rsidR="00B11634" w:rsidRPr="00B11634" w14:paraId="576B7F80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842D5A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Connect Health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70AF66D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LDC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A9CAB7C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Community MSK services/Mental Health</w:t>
            </w:r>
          </w:p>
        </w:tc>
      </w:tr>
      <w:tr w:rsidR="00B11634" w:rsidRPr="00B11634" w14:paraId="4277F32D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20727F7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Medical Imaging Partnership (Imaging Holdings)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7952018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Apposite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EFD321B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Diagnostics</w:t>
            </w:r>
          </w:p>
        </w:tc>
      </w:tr>
      <w:tr w:rsidR="00B11634" w:rsidRPr="00B11634" w14:paraId="33A52F01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EB8D620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Riverdale Healthcare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3FB35C2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Apposite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74A2CCB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Dentistry</w:t>
            </w:r>
          </w:p>
        </w:tc>
      </w:tr>
      <w:tr w:rsidR="00B11634" w:rsidRPr="00B11634" w14:paraId="699190A5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309093C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Swanton Care &amp; Community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CB434C3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Apposite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859013E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Mental Health</w:t>
            </w:r>
          </w:p>
        </w:tc>
      </w:tr>
      <w:tr w:rsidR="00B11634" w:rsidRPr="00B11634" w14:paraId="3576F5E6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067041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Medinet</w:t>
            </w:r>
            <w:proofErr w:type="spellEnd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 xml:space="preserve"> Clinical Services Ltd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B142996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Fremman</w:t>
            </w:r>
            <w:proofErr w:type="spellEnd"/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F8C53C8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Recruitment/Insourcing</w:t>
            </w:r>
          </w:p>
        </w:tc>
      </w:tr>
      <w:tr w:rsidR="00B11634" w:rsidRPr="00B11634" w14:paraId="3E0FB6AC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FC45504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Sciensus</w:t>
            </w:r>
            <w:proofErr w:type="spellEnd"/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9FE59D7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Vitruvian Partners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DC94959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Clinical and pharmaceutical home care</w:t>
            </w:r>
          </w:p>
        </w:tc>
      </w:tr>
      <w:tr w:rsidR="00B11634" w:rsidRPr="00B11634" w14:paraId="7D1F9EDE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BDFA811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Sonderwell</w:t>
            </w:r>
            <w:proofErr w:type="spellEnd"/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E3F8E3C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August Equity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7406996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Complex care</w:t>
            </w:r>
          </w:p>
        </w:tc>
      </w:tr>
      <w:tr w:rsidR="00B11634" w:rsidRPr="00B11634" w14:paraId="250375DA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11EA2C2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The Dermatology Partnership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F56CCE9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August Equity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FFFD7B7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Dermatology</w:t>
            </w:r>
          </w:p>
        </w:tc>
      </w:tr>
      <w:tr w:rsidR="00B11634" w:rsidRPr="00B11634" w14:paraId="4FA543BF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0CCF507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Exemplar Healthcare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1E0D64D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Ares Management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98A09C2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Complex care</w:t>
            </w:r>
          </w:p>
        </w:tc>
      </w:tr>
      <w:tr w:rsidR="00B11634" w:rsidRPr="00B11634" w14:paraId="66381D99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224E249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Agile Recruitment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C09D393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 xml:space="preserve">Owned by </w:t>
            </w:r>
            <w:proofErr w:type="spellStart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nGAGE</w:t>
            </w:r>
            <w:proofErr w:type="spellEnd"/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 xml:space="preserve"> and Partially owned by Graphite Capital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0068C11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Insourcing</w:t>
            </w:r>
          </w:p>
        </w:tc>
      </w:tr>
      <w:tr w:rsidR="00B11634" w:rsidRPr="00B11634" w14:paraId="43F8F2A2" w14:textId="77777777" w:rsidTr="00B11634">
        <w:tc>
          <w:tcPr>
            <w:tcW w:w="258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1D463FB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HomeLink Healthcare</w:t>
            </w:r>
          </w:p>
        </w:tc>
        <w:tc>
          <w:tcPr>
            <w:tcW w:w="2837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C0C4F28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Foresight Group</w:t>
            </w:r>
          </w:p>
        </w:tc>
        <w:tc>
          <w:tcPr>
            <w:tcW w:w="4119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F456323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Hospital at home</w:t>
            </w:r>
          </w:p>
        </w:tc>
      </w:tr>
      <w:tr w:rsidR="00B11634" w:rsidRPr="00B11634" w14:paraId="5E276732" w14:textId="77777777" w:rsidTr="00B11634">
        <w:tc>
          <w:tcPr>
            <w:tcW w:w="2582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080FE2E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Zero Three Care</w:t>
            </w:r>
          </w:p>
        </w:tc>
        <w:tc>
          <w:tcPr>
            <w:tcW w:w="2837" w:type="dxa"/>
            <w:gridSpan w:val="2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FA3EF92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Montreux Healthcare Fund</w:t>
            </w:r>
          </w:p>
        </w:tc>
        <w:tc>
          <w:tcPr>
            <w:tcW w:w="4119" w:type="dxa"/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F2A8B1B" w14:textId="77777777" w:rsidR="00B11634" w:rsidRPr="00B11634" w:rsidRDefault="00B11634">
            <w:pPr>
              <w:rPr>
                <w:rFonts w:ascii="Arial Nova" w:eastAsia="Times New Roman" w:hAnsi="Arial Nova" w:cs="Segoe UI"/>
                <w:sz w:val="24"/>
                <w:szCs w:val="24"/>
              </w:rPr>
            </w:pPr>
            <w:r w:rsidRPr="00B11634">
              <w:rPr>
                <w:rFonts w:ascii="Arial Nova" w:eastAsia="Times New Roman" w:hAnsi="Arial Nova" w:cs="Segoe UI"/>
                <w:sz w:val="24"/>
                <w:szCs w:val="24"/>
                <w:bdr w:val="none" w:sz="0" w:space="0" w:color="auto" w:frame="1"/>
              </w:rPr>
              <w:t>Complex needs/mental health/learning and physical disabilities</w:t>
            </w:r>
          </w:p>
        </w:tc>
      </w:tr>
    </w:tbl>
    <w:p w14:paraId="6B471C17" w14:textId="77777777" w:rsidR="009C25E3" w:rsidRPr="00B11634" w:rsidRDefault="009C25E3">
      <w:pPr>
        <w:rPr>
          <w:rFonts w:ascii="Arial Nova" w:hAnsi="Arial Nova"/>
        </w:rPr>
      </w:pPr>
    </w:p>
    <w:sectPr w:rsidR="009C25E3" w:rsidRPr="00B11634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34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B11634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5C24"/>
  <w15:chartTrackingRefBased/>
  <w15:docId w15:val="{F9A55E0F-EACC-4053-B56F-CA67643A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34"/>
    <w:pPr>
      <w:spacing w:after="0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6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2023-10-10T09:04:00Z</dcterms:created>
  <dcterms:modified xsi:type="dcterms:W3CDTF">2023-10-10T09:08:00Z</dcterms:modified>
</cp:coreProperties>
</file>