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5E3" w:rsidRDefault="00CB257D" w:rsidP="00CB257D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</w:pPr>
      <w:r>
        <w:t>MINI BULLETIN – 23 August 2023</w:t>
      </w:r>
    </w:p>
    <w:p w:rsidR="00CB257D" w:rsidRDefault="00CB257D"/>
    <w:p w:rsidR="00CB257D" w:rsidRPr="00CB257D" w:rsidRDefault="00CB257D" w:rsidP="00CB257D">
      <w:pPr>
        <w:jc w:val="both"/>
        <w:rPr>
          <w:rFonts w:eastAsia="Times New Roman"/>
        </w:rPr>
      </w:pPr>
      <w:r w:rsidRPr="00CB257D">
        <w:rPr>
          <w:rFonts w:eastAsia="Times New Roman"/>
          <w:color w:val="202A30"/>
          <w:shd w:val="clear" w:color="auto" w:fill="FFFFFF"/>
        </w:rPr>
        <w:t>The NHS currently has ten performance</w:t>
      </w:r>
      <w:r w:rsidRPr="00CB257D">
        <w:rPr>
          <w:rFonts w:eastAsia="Times New Roman"/>
          <w:b/>
          <w:bCs/>
          <w:color w:val="202A30"/>
          <w:shd w:val="clear" w:color="auto" w:fill="FFFFFF"/>
        </w:rPr>
        <w:t xml:space="preserve"> standards for </w:t>
      </w:r>
      <w:r w:rsidRPr="00CB257D">
        <w:rPr>
          <w:rFonts w:eastAsia="Times New Roman"/>
          <w:b/>
          <w:bCs/>
          <w:color w:val="202A30"/>
          <w:shd w:val="clear" w:color="auto" w:fill="FFFFFF"/>
        </w:rPr>
        <w:t>C</w:t>
      </w:r>
      <w:r w:rsidRPr="00CB257D">
        <w:rPr>
          <w:rFonts w:eastAsia="Times New Roman"/>
          <w:b/>
          <w:bCs/>
          <w:color w:val="202A30"/>
          <w:shd w:val="clear" w:color="auto" w:fill="FFFFFF"/>
        </w:rPr>
        <w:t>ancer</w:t>
      </w:r>
      <w:r w:rsidRPr="00CB257D">
        <w:rPr>
          <w:rFonts w:eastAsia="Times New Roman"/>
          <w:color w:val="202A30"/>
          <w:shd w:val="clear" w:color="auto" w:fill="FFFFFF"/>
        </w:rPr>
        <w:t xml:space="preserve">, including the Faster Diagnosis Standard introduced in April 2021, but following rigorous consultation and engagement, the </w:t>
      </w:r>
      <w:r w:rsidRPr="00CB257D">
        <w:rPr>
          <w:rFonts w:eastAsia="Times New Roman"/>
          <w:color w:val="202A30"/>
          <w:shd w:val="clear" w:color="auto" w:fill="FFFFFF"/>
        </w:rPr>
        <w:t>G</w:t>
      </w:r>
      <w:r w:rsidRPr="00CB257D">
        <w:rPr>
          <w:rFonts w:eastAsia="Times New Roman"/>
          <w:color w:val="202A30"/>
          <w:shd w:val="clear" w:color="auto" w:fill="FFFFFF"/>
        </w:rPr>
        <w:t>overnment has agreed these targets will be consolidated into three key standards:</w:t>
      </w:r>
    </w:p>
    <w:p w:rsidR="00CB257D" w:rsidRDefault="00CB257D" w:rsidP="00CB257D">
      <w:pPr>
        <w:pStyle w:val="Heading2"/>
        <w:pBdr>
          <w:bottom w:val="single" w:sz="6" w:space="0" w:color="CCCCCC"/>
        </w:pBdr>
        <w:shd w:val="clear" w:color="auto" w:fill="E5E5E5"/>
        <w:spacing w:before="0" w:beforeAutospacing="0" w:after="150" w:afterAutospacing="0" w:line="600" w:lineRule="atLeast"/>
        <w:ind w:left="-150" w:right="-150"/>
        <w:rPr>
          <w:rFonts w:ascii="Segoe UI" w:eastAsia="Times New Roman" w:hAnsi="Segoe UI" w:cs="Segoe UI"/>
          <w:b w:val="0"/>
          <w:bCs w:val="0"/>
        </w:rPr>
      </w:pPr>
      <w:r>
        <w:rPr>
          <w:rFonts w:eastAsia="Times New Roman"/>
          <w:b w:val="0"/>
          <w:bCs w:val="0"/>
          <w:sz w:val="24"/>
          <w:szCs w:val="24"/>
        </w:rPr>
        <w:t>  </w:t>
      </w:r>
    </w:p>
    <w:p w:rsidR="00CB257D" w:rsidRDefault="00CB257D" w:rsidP="00CB25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T</w:t>
      </w:r>
      <w:r w:rsidRPr="00CB257D">
        <w:rPr>
          <w:rFonts w:eastAsia="Times New Roman"/>
        </w:rPr>
        <w:t xml:space="preserve">he 28-Day Faster Diagnosis Standard (FDS) which means patients with suspected </w:t>
      </w:r>
      <w:r>
        <w:rPr>
          <w:rFonts w:eastAsia="Times New Roman"/>
        </w:rPr>
        <w:t>C</w:t>
      </w:r>
      <w:r w:rsidRPr="00CB257D">
        <w:rPr>
          <w:rFonts w:eastAsia="Times New Roman"/>
        </w:rPr>
        <w:t>ancer who are referred for urgent cancer checks from a GP, screening programme or other route</w:t>
      </w:r>
      <w:r>
        <w:rPr>
          <w:rFonts w:eastAsia="Times New Roman"/>
        </w:rPr>
        <w:t>,</w:t>
      </w:r>
      <w:r w:rsidRPr="00CB257D">
        <w:rPr>
          <w:rFonts w:eastAsia="Times New Roman"/>
        </w:rPr>
        <w:t xml:space="preserve"> should be diagnosed or have </w:t>
      </w:r>
      <w:r>
        <w:rPr>
          <w:rFonts w:eastAsia="Times New Roman"/>
        </w:rPr>
        <w:t>C</w:t>
      </w:r>
      <w:r w:rsidRPr="00CB257D">
        <w:rPr>
          <w:rFonts w:eastAsia="Times New Roman"/>
        </w:rPr>
        <w:t>ancer ruled out within 28 days.</w:t>
      </w:r>
    </w:p>
    <w:p w:rsidR="00CB257D" w:rsidRPr="00CB257D" w:rsidRDefault="00CB257D" w:rsidP="00CB25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</w:rPr>
      </w:pPr>
    </w:p>
    <w:p w:rsidR="00CB257D" w:rsidRDefault="00CB257D" w:rsidP="00CB25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T</w:t>
      </w:r>
      <w:r w:rsidRPr="00CB257D">
        <w:rPr>
          <w:rFonts w:eastAsia="Times New Roman"/>
        </w:rPr>
        <w:t xml:space="preserve">he 62-day referral to treatment standard which means patients who have been referred for suspected </w:t>
      </w:r>
      <w:r>
        <w:rPr>
          <w:rFonts w:eastAsia="Times New Roman"/>
        </w:rPr>
        <w:t>C</w:t>
      </w:r>
      <w:r w:rsidRPr="00CB257D">
        <w:rPr>
          <w:rFonts w:eastAsia="Times New Roman"/>
        </w:rPr>
        <w:t>ancer from any source and go on to receive a diagnosis should start treatment within 62 days of their referral.</w:t>
      </w:r>
    </w:p>
    <w:p w:rsidR="00CB257D" w:rsidRPr="00CB257D" w:rsidRDefault="00CB257D" w:rsidP="00CB257D">
      <w:pPr>
        <w:pStyle w:val="ListParagraph"/>
        <w:rPr>
          <w:rFonts w:eastAsia="Times New Roman"/>
          <w:sz w:val="10"/>
          <w:szCs w:val="10"/>
        </w:rPr>
      </w:pPr>
    </w:p>
    <w:p w:rsidR="00CB257D" w:rsidRDefault="00CB257D" w:rsidP="00CB25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T</w:t>
      </w:r>
      <w:r w:rsidRPr="00CB257D">
        <w:rPr>
          <w:rFonts w:eastAsia="Times New Roman"/>
        </w:rPr>
        <w:t xml:space="preserve">he 31-day decision to treat to treatment standard which means patients who have a </w:t>
      </w:r>
      <w:r>
        <w:rPr>
          <w:rFonts w:eastAsia="Times New Roman"/>
        </w:rPr>
        <w:t>C</w:t>
      </w:r>
      <w:r w:rsidRPr="00CB257D">
        <w:rPr>
          <w:rFonts w:eastAsia="Times New Roman"/>
        </w:rPr>
        <w:t>ancer diagnosis, and who have had a decision made on their first or subsequent treatment, should then start that treatment within 31 days.</w:t>
      </w:r>
    </w:p>
    <w:p w:rsidR="00CB257D" w:rsidRPr="00CB257D" w:rsidRDefault="00CB257D" w:rsidP="00CB257D">
      <w:pPr>
        <w:pStyle w:val="ListParagraph"/>
        <w:rPr>
          <w:rFonts w:eastAsia="Times New Roman"/>
          <w:sz w:val="6"/>
          <w:szCs w:val="6"/>
        </w:rPr>
      </w:pPr>
    </w:p>
    <w:p w:rsidR="00CB257D" w:rsidRDefault="00CB257D" w:rsidP="00CB257D">
      <w:pPr>
        <w:pStyle w:val="NormalWeb"/>
        <w:shd w:val="clear" w:color="auto" w:fill="FFFFFF"/>
        <w:spacing w:before="0" w:beforeAutospacing="0" w:after="225" w:afterAutospacing="0"/>
        <w:ind w:left="709"/>
        <w:jc w:val="both"/>
        <w:textAlignment w:val="baseline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I</w:t>
      </w:r>
      <w:r w:rsidRPr="00CB257D">
        <w:rPr>
          <w:rFonts w:ascii="Segoe UI Historic" w:hAnsi="Segoe UI Historic" w:cs="Segoe UI Historic"/>
          <w:sz w:val="24"/>
          <w:szCs w:val="24"/>
        </w:rPr>
        <w:t xml:space="preserve">n line with the recommendation of the 2015 Independent Cancer Taskforce, </w:t>
      </w:r>
      <w:r>
        <w:rPr>
          <w:rFonts w:ascii="Segoe UI Historic" w:hAnsi="Segoe UI Historic" w:cs="Segoe UI Historic"/>
          <w:sz w:val="24"/>
          <w:szCs w:val="24"/>
        </w:rPr>
        <w:t>G</w:t>
      </w:r>
      <w:r w:rsidRPr="00CB257D">
        <w:rPr>
          <w:rFonts w:ascii="Segoe UI Historic" w:hAnsi="Segoe UI Historic" w:cs="Segoe UI Historic"/>
          <w:sz w:val="24"/>
          <w:szCs w:val="24"/>
        </w:rPr>
        <w:t>overnment has approved that the outdated two week wait target will be replaced with the Faster Diagnosis Standard from October.</w:t>
      </w:r>
    </w:p>
    <w:p w:rsidR="00CB257D" w:rsidRPr="00CB257D" w:rsidRDefault="00CB257D" w:rsidP="00CB257D">
      <w:pPr>
        <w:pStyle w:val="NormalWeb"/>
        <w:shd w:val="clear" w:color="auto" w:fill="FFFFFF"/>
        <w:spacing w:before="0" w:beforeAutospacing="0" w:after="225" w:afterAutospacing="0"/>
        <w:ind w:left="709"/>
        <w:jc w:val="both"/>
        <w:textAlignment w:val="baseline"/>
        <w:rPr>
          <w:rFonts w:ascii="Segoe UI Historic" w:hAnsi="Segoe UI Historic" w:cs="Segoe UI Historic"/>
          <w:sz w:val="24"/>
          <w:szCs w:val="24"/>
        </w:rPr>
      </w:pPr>
    </w:p>
    <w:p w:rsidR="00CB257D" w:rsidRPr="00CB257D" w:rsidRDefault="00CB257D" w:rsidP="00CB257D">
      <w:pPr>
        <w:pStyle w:val="Heading2"/>
        <w:pBdr>
          <w:bottom w:val="single" w:sz="6" w:space="0" w:color="CCCCCC"/>
        </w:pBdr>
        <w:shd w:val="clear" w:color="auto" w:fill="E5E5E5"/>
        <w:spacing w:before="0" w:beforeAutospacing="0" w:after="150" w:afterAutospacing="0"/>
        <w:ind w:left="-150" w:right="-150"/>
        <w:rPr>
          <w:rFonts w:ascii="Segoe UI Historic" w:eastAsia="Times New Roman" w:hAnsi="Segoe UI Historic" w:cs="Segoe UI Historic"/>
          <w:b w:val="0"/>
          <w:bCs w:val="0"/>
        </w:rPr>
      </w:pPr>
      <w:r w:rsidRPr="00CB257D">
        <w:rPr>
          <w:rFonts w:ascii="Segoe UI Historic" w:eastAsia="Times New Roman" w:hAnsi="Segoe UI Historic" w:cs="Segoe UI Historic"/>
          <w:b w:val="0"/>
          <w:bCs w:val="0"/>
          <w:sz w:val="24"/>
          <w:szCs w:val="24"/>
        </w:rPr>
        <w:t xml:space="preserve">GPs will still refer people with suspected </w:t>
      </w:r>
      <w:r>
        <w:rPr>
          <w:rFonts w:ascii="Segoe UI Historic" w:eastAsia="Times New Roman" w:hAnsi="Segoe UI Historic" w:cs="Segoe UI Historic"/>
          <w:b w:val="0"/>
          <w:bCs w:val="0"/>
          <w:sz w:val="24"/>
          <w:szCs w:val="24"/>
        </w:rPr>
        <w:t>C</w:t>
      </w:r>
      <w:r w:rsidRPr="00CB257D">
        <w:rPr>
          <w:rFonts w:ascii="Segoe UI Historic" w:eastAsia="Times New Roman" w:hAnsi="Segoe UI Historic" w:cs="Segoe UI Historic"/>
          <w:b w:val="0"/>
          <w:bCs w:val="0"/>
          <w:sz w:val="24"/>
          <w:szCs w:val="24"/>
        </w:rPr>
        <w:t>ancer in the same way, but the focus will rightly be on getting people diagnosed or cancer ruled out within 28 days, rather than simply getting a first appointment. </w:t>
      </w:r>
    </w:p>
    <w:p w:rsidR="00CB257D" w:rsidRPr="00CB257D" w:rsidRDefault="00CB257D" w:rsidP="00CB257D">
      <w:pPr>
        <w:rPr>
          <w:rFonts w:eastAsia="Times New Roman"/>
        </w:rPr>
      </w:pPr>
    </w:p>
    <w:p w:rsidR="00CB257D" w:rsidRPr="00CB257D" w:rsidRDefault="00CB257D" w:rsidP="00CB257D">
      <w:pPr>
        <w:rPr>
          <w:rFonts w:eastAsia="Times New Roman"/>
        </w:rPr>
      </w:pPr>
      <w:r w:rsidRPr="00CB257D">
        <w:rPr>
          <w:rFonts w:eastAsia="Times New Roman"/>
          <w:b/>
          <w:bCs/>
          <w:u w:val="single"/>
        </w:rPr>
        <w:t>O</w:t>
      </w:r>
      <w:r w:rsidRPr="00CB257D">
        <w:rPr>
          <w:rFonts w:eastAsia="Times New Roman"/>
          <w:b/>
          <w:bCs/>
          <w:u w:val="single"/>
        </w:rPr>
        <w:t>pportunity Id</w:t>
      </w:r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  <w:b/>
          <w:bCs/>
        </w:rPr>
        <w:t xml:space="preserve">  </w:t>
      </w:r>
      <w:r w:rsidRPr="00CB257D">
        <w:rPr>
          <w:rFonts w:eastAsia="Times New Roman"/>
        </w:rPr>
        <w:t>DN615342</w:t>
      </w:r>
    </w:p>
    <w:p w:rsidR="00CB257D" w:rsidRPr="00CB257D" w:rsidRDefault="00CB257D" w:rsidP="00CB257D">
      <w:pPr>
        <w:rPr>
          <w:rFonts w:eastAsia="Times New Roman"/>
        </w:rPr>
      </w:pPr>
      <w:r w:rsidRPr="00CB257D">
        <w:rPr>
          <w:rFonts w:eastAsia="Times New Roman"/>
          <w:b/>
          <w:bCs/>
          <w:u w:val="single"/>
        </w:rPr>
        <w:t>Title</w:t>
      </w:r>
      <w:r>
        <w:rPr>
          <w:rFonts w:eastAsia="Times New Roman"/>
          <w:b/>
          <w:bCs/>
        </w:rPr>
        <w:t xml:space="preserve">: </w:t>
      </w:r>
      <w:r w:rsidRPr="00CB257D">
        <w:rPr>
          <w:rFonts w:eastAsia="Times New Roman"/>
          <w:b/>
          <w:bCs/>
        </w:rPr>
        <w:t>Healthwatch Stoke-on-Trent</w:t>
      </w:r>
      <w:r w:rsidRPr="00CB257D">
        <w:rPr>
          <w:rFonts w:eastAsia="Times New Roman"/>
        </w:rPr>
        <w:t xml:space="preserve"> (ASCHIW/2023/431*)</w:t>
      </w:r>
    </w:p>
    <w:p w:rsidR="00CB257D" w:rsidRPr="00CB257D" w:rsidRDefault="00CB257D" w:rsidP="00CB257D">
      <w:pPr>
        <w:spacing w:after="0" w:line="240" w:lineRule="auto"/>
        <w:rPr>
          <w:rFonts w:eastAsia="Times New Roman"/>
        </w:rPr>
      </w:pPr>
      <w:r w:rsidRPr="00CB257D">
        <w:rPr>
          <w:rFonts w:eastAsia="Times New Roman"/>
          <w:b/>
          <w:bCs/>
          <w:u w:val="single"/>
        </w:rPr>
        <w:t>Categories</w:t>
      </w:r>
      <w:r>
        <w:rPr>
          <w:rFonts w:eastAsia="Times New Roman"/>
          <w:b/>
          <w:bCs/>
        </w:rPr>
        <w:t xml:space="preserve">:  </w:t>
      </w:r>
      <w:r w:rsidRPr="00CB257D">
        <w:rPr>
          <w:rFonts w:eastAsia="Times New Roman"/>
        </w:rPr>
        <w:t>85120000-6 - Medical practice and related services</w:t>
      </w:r>
    </w:p>
    <w:p w:rsidR="00CB257D" w:rsidRPr="00CB257D" w:rsidRDefault="00CB257D" w:rsidP="00CB25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</w:t>
      </w:r>
      <w:r w:rsidRPr="00CB257D">
        <w:rPr>
          <w:rFonts w:eastAsia="Times New Roman"/>
        </w:rPr>
        <w:t>85140000-2 - Miscellaneous health services</w:t>
      </w:r>
    </w:p>
    <w:p w:rsidR="00CB257D" w:rsidRPr="00CB257D" w:rsidRDefault="00CB257D" w:rsidP="00CB25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</w:t>
      </w:r>
      <w:r w:rsidRPr="00CB257D">
        <w:rPr>
          <w:rFonts w:eastAsia="Times New Roman"/>
        </w:rPr>
        <w:t>85320000-8 - Social services</w:t>
      </w:r>
    </w:p>
    <w:p w:rsidR="00CB257D" w:rsidRDefault="00CB257D" w:rsidP="00CB257D">
      <w:pPr>
        <w:jc w:val="right"/>
        <w:rPr>
          <w:rFonts w:eastAsia="Times New Roman"/>
          <w:b/>
          <w:bCs/>
        </w:rPr>
      </w:pPr>
    </w:p>
    <w:p w:rsidR="002C11EB" w:rsidRDefault="002C11EB" w:rsidP="00CB257D">
      <w:pPr>
        <w:jc w:val="right"/>
        <w:rPr>
          <w:rFonts w:eastAsia="Times New Roman"/>
          <w:b/>
          <w:bCs/>
        </w:rPr>
      </w:pPr>
    </w:p>
    <w:p w:rsidR="00CB257D" w:rsidRPr="00CB257D" w:rsidRDefault="00CB257D" w:rsidP="00CB257D">
      <w:pPr>
        <w:rPr>
          <w:rFonts w:eastAsia="Times New Roman"/>
          <w:b/>
          <w:bCs/>
          <w:u w:val="single"/>
        </w:rPr>
      </w:pPr>
      <w:r w:rsidRPr="00CB257D">
        <w:rPr>
          <w:rFonts w:eastAsia="Times New Roman"/>
          <w:b/>
          <w:bCs/>
          <w:u w:val="single"/>
        </w:rPr>
        <w:lastRenderedPageBreak/>
        <w:t>Description</w:t>
      </w:r>
    </w:p>
    <w:p w:rsidR="00CB257D" w:rsidRDefault="00CB257D" w:rsidP="00CB257D">
      <w:pPr>
        <w:spacing w:after="0"/>
        <w:rPr>
          <w:rFonts w:eastAsia="Times New Roman"/>
        </w:rPr>
      </w:pPr>
      <w:r w:rsidRPr="00CB257D">
        <w:rPr>
          <w:rFonts w:eastAsia="Times New Roman"/>
        </w:rPr>
        <w:t>Provision of Healthwatch service for Stoke-on-Trent City Council. The service will:</w:t>
      </w:r>
      <w:r w:rsidRPr="00CB257D">
        <w:rPr>
          <w:rFonts w:eastAsia="Times New Roman"/>
        </w:rPr>
        <w:br/>
      </w:r>
      <w:r w:rsidRPr="00CB257D">
        <w:rPr>
          <w:rFonts w:eastAsia="Times New Roman"/>
        </w:rPr>
        <w:br/>
        <w:t xml:space="preserve">• </w:t>
      </w:r>
      <w:r>
        <w:rPr>
          <w:rFonts w:eastAsia="Times New Roman"/>
        </w:rPr>
        <w:t xml:space="preserve">    </w:t>
      </w:r>
      <w:r w:rsidRPr="00CB257D">
        <w:rPr>
          <w:rFonts w:eastAsia="Times New Roman"/>
        </w:rPr>
        <w:t xml:space="preserve">Act as a local independent consumer champion representing the collective voices </w:t>
      </w:r>
      <w:r>
        <w:rPr>
          <w:rFonts w:eastAsia="Times New Roman"/>
        </w:rPr>
        <w:t xml:space="preserve"> </w:t>
      </w:r>
    </w:p>
    <w:p w:rsidR="00CB257D" w:rsidRDefault="00CB257D" w:rsidP="00CB257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CB257D">
        <w:rPr>
          <w:rFonts w:eastAsia="Times New Roman"/>
        </w:rPr>
        <w:t xml:space="preserve">of adults, children and young people, patients, service users, carers and the </w:t>
      </w:r>
      <w:r>
        <w:rPr>
          <w:rFonts w:eastAsia="Times New Roman"/>
        </w:rPr>
        <w:t xml:space="preserve">  </w:t>
      </w:r>
    </w:p>
    <w:p w:rsidR="00CB257D" w:rsidRDefault="00CB257D" w:rsidP="00CB257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CB257D">
        <w:rPr>
          <w:rFonts w:eastAsia="Times New Roman"/>
        </w:rPr>
        <w:t>public</w:t>
      </w:r>
      <w:r>
        <w:rPr>
          <w:rFonts w:eastAsia="Times New Roman"/>
        </w:rPr>
        <w:t>.</w:t>
      </w:r>
    </w:p>
    <w:p w:rsidR="00CB257D" w:rsidRDefault="00CB257D" w:rsidP="00CB257D">
      <w:pPr>
        <w:spacing w:after="0" w:line="240" w:lineRule="auto"/>
        <w:rPr>
          <w:rFonts w:eastAsia="Times New Roman"/>
        </w:rPr>
      </w:pPr>
      <w:r w:rsidRPr="00CB257D">
        <w:rPr>
          <w:rFonts w:eastAsia="Times New Roman"/>
        </w:rPr>
        <w:br/>
        <w:t xml:space="preserve">• </w:t>
      </w:r>
      <w:r>
        <w:rPr>
          <w:rFonts w:eastAsia="Times New Roman"/>
        </w:rPr>
        <w:t xml:space="preserve">    </w:t>
      </w:r>
      <w:r w:rsidRPr="00CB257D">
        <w:rPr>
          <w:rFonts w:eastAsia="Times New Roman"/>
        </w:rPr>
        <w:t xml:space="preserve">Support individuals to shape health and social care delivery, and influence the </w:t>
      </w:r>
    </w:p>
    <w:p w:rsidR="00CB257D" w:rsidRDefault="00CB257D" w:rsidP="00CB25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CB257D">
        <w:rPr>
          <w:rFonts w:eastAsia="Times New Roman"/>
        </w:rPr>
        <w:t xml:space="preserve">services which they receive personally with commissioners, providers, regulators </w:t>
      </w:r>
    </w:p>
    <w:p w:rsidR="00CB257D" w:rsidRDefault="00CB257D" w:rsidP="00CB25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CB257D">
        <w:rPr>
          <w:rFonts w:eastAsia="Times New Roman"/>
        </w:rPr>
        <w:t xml:space="preserve">and Healthwatch England using local knowledge and experiences of what </w:t>
      </w:r>
    </w:p>
    <w:p w:rsidR="00CB257D" w:rsidRDefault="00CB257D" w:rsidP="00CB25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CB257D">
        <w:rPr>
          <w:rFonts w:eastAsia="Times New Roman"/>
        </w:rPr>
        <w:t>matters to local people</w:t>
      </w:r>
      <w:r>
        <w:rPr>
          <w:rFonts w:eastAsia="Times New Roman"/>
        </w:rPr>
        <w:t xml:space="preserve">. </w:t>
      </w:r>
    </w:p>
    <w:p w:rsidR="00CB257D" w:rsidRDefault="00CB257D" w:rsidP="00CB257D">
      <w:pPr>
        <w:spacing w:after="0" w:line="240" w:lineRule="auto"/>
        <w:rPr>
          <w:rFonts w:eastAsia="Times New Roman"/>
        </w:rPr>
      </w:pPr>
      <w:r w:rsidRPr="00CB257D">
        <w:rPr>
          <w:rFonts w:eastAsia="Times New Roman"/>
        </w:rPr>
        <w:br/>
        <w:t xml:space="preserve">• </w:t>
      </w:r>
      <w:r>
        <w:rPr>
          <w:rFonts w:eastAsia="Times New Roman"/>
        </w:rPr>
        <w:t xml:space="preserve">    </w:t>
      </w:r>
      <w:r w:rsidRPr="00CB257D">
        <w:rPr>
          <w:rFonts w:eastAsia="Times New Roman"/>
        </w:rPr>
        <w:t xml:space="preserve">Signpost people to an independent advocacy if they need help to complain </w:t>
      </w:r>
    </w:p>
    <w:p w:rsidR="00CB257D" w:rsidRDefault="00CB257D" w:rsidP="00CB257D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CB257D">
        <w:rPr>
          <w:rFonts w:eastAsia="Times New Roman"/>
        </w:rPr>
        <w:t>about NHS services</w:t>
      </w:r>
      <w:r>
        <w:rPr>
          <w:rFonts w:eastAsia="Times New Roman"/>
        </w:rPr>
        <w:t>.</w:t>
      </w:r>
    </w:p>
    <w:p w:rsidR="00CB257D" w:rsidRPr="00CB257D" w:rsidRDefault="00CB257D" w:rsidP="00CB257D">
      <w:pPr>
        <w:jc w:val="both"/>
        <w:rPr>
          <w:rFonts w:eastAsia="Times New Roman"/>
        </w:rPr>
      </w:pPr>
      <w:r w:rsidRPr="00CB257D">
        <w:rPr>
          <w:rFonts w:eastAsia="Times New Roman"/>
        </w:rPr>
        <w:t xml:space="preserve">• </w:t>
      </w:r>
      <w:r>
        <w:rPr>
          <w:rFonts w:eastAsia="Times New Roman"/>
        </w:rPr>
        <w:t xml:space="preserve">    </w:t>
      </w:r>
      <w:r w:rsidRPr="00CB257D">
        <w:rPr>
          <w:rFonts w:eastAsia="Times New Roman"/>
        </w:rPr>
        <w:t>Support individuals to access information and advice about services</w:t>
      </w:r>
      <w:r w:rsidRPr="00CB257D">
        <w:rPr>
          <w:rFonts w:eastAsia="Times New Roman"/>
        </w:rPr>
        <w:br/>
      </w:r>
      <w:r w:rsidRPr="00CB257D">
        <w:rPr>
          <w:rFonts w:eastAsia="Times New Roman"/>
        </w:rPr>
        <w:br/>
        <w:t>This contract falls under the Public Contract Regulations 2015 Light Touch Regime (LTR) - Regulations 74 to 77. As such, the City Council will place an advert in Find a Tender Service (FTS), publish an award notice and comply with the principles of transparency and equal treatment.</w:t>
      </w:r>
    </w:p>
    <w:p w:rsidR="00CB257D" w:rsidRPr="00CB257D" w:rsidRDefault="00CB257D" w:rsidP="00CB257D">
      <w:pPr>
        <w:rPr>
          <w:rFonts w:eastAsia="Times New Roman"/>
        </w:rPr>
      </w:pPr>
      <w:r w:rsidRPr="00CB257D">
        <w:rPr>
          <w:b/>
          <w:bCs/>
          <w:u w:val="single"/>
        </w:rPr>
        <w:t>Region(s) of supply</w:t>
      </w:r>
      <w:r w:rsidRPr="00CB257D">
        <w:rPr>
          <w:b/>
          <w:bCs/>
          <w:u w:val="single"/>
        </w:rPr>
        <w:t>:</w:t>
      </w:r>
      <w:r>
        <w:rPr>
          <w:b/>
          <w:bCs/>
        </w:rPr>
        <w:t xml:space="preserve">  </w:t>
      </w:r>
      <w:r w:rsidRPr="00CB257D">
        <w:rPr>
          <w:rFonts w:eastAsia="Times New Roman"/>
        </w:rPr>
        <w:t>Stoke-on-Trent</w:t>
      </w:r>
    </w:p>
    <w:p w:rsidR="00CB257D" w:rsidRPr="00CB257D" w:rsidRDefault="00CB257D" w:rsidP="00CB257D">
      <w:pPr>
        <w:rPr>
          <w:rFonts w:eastAsia="Times New Roman"/>
        </w:rPr>
      </w:pPr>
      <w:r w:rsidRPr="00CB257D">
        <w:rPr>
          <w:rFonts w:eastAsia="Times New Roman"/>
          <w:b/>
          <w:bCs/>
          <w:u w:val="single"/>
        </w:rPr>
        <w:t>Estimated value</w:t>
      </w:r>
      <w:r>
        <w:rPr>
          <w:rFonts w:eastAsia="Times New Roman"/>
          <w:b/>
          <w:bCs/>
        </w:rPr>
        <w:t xml:space="preserve">:        </w:t>
      </w:r>
      <w:r w:rsidRPr="00CB257D">
        <w:rPr>
          <w:rFonts w:eastAsia="Times New Roman"/>
        </w:rPr>
        <w:t>£458,750.00</w:t>
      </w:r>
    </w:p>
    <w:p w:rsidR="00CB257D" w:rsidRPr="00CB257D" w:rsidRDefault="00CB257D" w:rsidP="00CB257D">
      <w:pPr>
        <w:rPr>
          <w:rFonts w:eastAsia="Times New Roman"/>
        </w:rPr>
      </w:pPr>
      <w:r w:rsidRPr="00CB257D">
        <w:rPr>
          <w:rFonts w:eastAsia="Times New Roman"/>
          <w:b/>
          <w:bCs/>
          <w:u w:val="single"/>
        </w:rPr>
        <w:t>Keywords</w:t>
      </w:r>
      <w:r>
        <w:rPr>
          <w:rFonts w:eastAsia="Times New Roman"/>
          <w:b/>
          <w:bCs/>
        </w:rPr>
        <w:t xml:space="preserve">:                  </w:t>
      </w:r>
      <w:r w:rsidRPr="00CB257D">
        <w:rPr>
          <w:rFonts w:eastAsia="Times New Roman"/>
        </w:rPr>
        <w:t>Public Health, Healthwatch</w:t>
      </w:r>
    </w:p>
    <w:p w:rsidR="00CB257D" w:rsidRDefault="00CB257D"/>
    <w:sectPr w:rsidR="00CB257D" w:rsidSect="00092E15">
      <w:footerReference w:type="default" r:id="rId7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266" w:rsidRDefault="005C2266" w:rsidP="002C11EB">
      <w:pPr>
        <w:spacing w:after="0" w:line="240" w:lineRule="auto"/>
      </w:pPr>
      <w:r>
        <w:separator/>
      </w:r>
    </w:p>
  </w:endnote>
  <w:endnote w:type="continuationSeparator" w:id="0">
    <w:p w:rsidR="005C2266" w:rsidRDefault="005C2266" w:rsidP="002C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172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1EB" w:rsidRDefault="002C11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1EB" w:rsidRDefault="002C1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266" w:rsidRDefault="005C2266" w:rsidP="002C11EB">
      <w:pPr>
        <w:spacing w:after="0" w:line="240" w:lineRule="auto"/>
      </w:pPr>
      <w:r>
        <w:separator/>
      </w:r>
    </w:p>
  </w:footnote>
  <w:footnote w:type="continuationSeparator" w:id="0">
    <w:p w:rsidR="005C2266" w:rsidRDefault="005C2266" w:rsidP="002C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97446"/>
    <w:multiLevelType w:val="multilevel"/>
    <w:tmpl w:val="E82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2722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7D"/>
    <w:rsid w:val="00092E15"/>
    <w:rsid w:val="002C11EB"/>
    <w:rsid w:val="003B4D69"/>
    <w:rsid w:val="004D37C0"/>
    <w:rsid w:val="005C2266"/>
    <w:rsid w:val="00667753"/>
    <w:rsid w:val="006A35D0"/>
    <w:rsid w:val="006E2A55"/>
    <w:rsid w:val="00720B0F"/>
    <w:rsid w:val="009254E9"/>
    <w:rsid w:val="009C25E3"/>
    <w:rsid w:val="00CB257D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388A"/>
  <w15:chartTrackingRefBased/>
  <w15:docId w15:val="{50C15F18-794E-4499-9D66-1515CFF9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B257D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257D"/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B257D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B2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EB"/>
  </w:style>
  <w:style w:type="paragraph" w:styleId="Footer">
    <w:name w:val="footer"/>
    <w:basedOn w:val="Normal"/>
    <w:link w:val="FooterChar"/>
    <w:uiPriority w:val="99"/>
    <w:unhideWhenUsed/>
    <w:rsid w:val="002C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2023-08-23T09:04:00Z</dcterms:created>
  <dcterms:modified xsi:type="dcterms:W3CDTF">2023-08-23T09:15:00Z</dcterms:modified>
</cp:coreProperties>
</file>