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DBB" w14:textId="46734ACF" w:rsidR="00480166" w:rsidRPr="00DB5D66" w:rsidRDefault="005F122A" w:rsidP="00E3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00" w:after="300"/>
        <w:jc w:val="center"/>
        <w:rPr>
          <w:rFonts w:ascii="Arial Nova" w:eastAsia="Times New Roman" w:hAnsi="Arial Nova" w:cs="Arial"/>
          <w:b/>
          <w:color w:val="0B0C0C"/>
          <w:lang w:eastAsia="en-GB"/>
        </w:rPr>
      </w:pPr>
      <w:r w:rsidRPr="00DB5D66">
        <w:rPr>
          <w:rFonts w:ascii="Arial Nova" w:eastAsia="Times New Roman" w:hAnsi="Arial Nova" w:cs="Arial"/>
          <w:b/>
          <w:color w:val="0B0C0C"/>
          <w:lang w:eastAsia="en-GB"/>
        </w:rPr>
        <w:t xml:space="preserve">The Sunbury Health Centre </w:t>
      </w:r>
      <w:r w:rsidR="00480166" w:rsidRPr="00DB5D66">
        <w:rPr>
          <w:rFonts w:ascii="Arial Nova" w:eastAsia="Times New Roman" w:hAnsi="Arial Nova" w:cs="Arial"/>
          <w:b/>
          <w:color w:val="0B0C0C"/>
          <w:lang w:eastAsia="en-GB"/>
        </w:rPr>
        <w:t xml:space="preserve">Flu </w:t>
      </w:r>
      <w:r w:rsidRPr="00DB5D66">
        <w:rPr>
          <w:rFonts w:ascii="Arial Nova" w:eastAsia="Times New Roman" w:hAnsi="Arial Nova" w:cs="Arial"/>
          <w:b/>
          <w:color w:val="0B0C0C"/>
          <w:lang w:eastAsia="en-GB"/>
        </w:rPr>
        <w:t>Vaccination P</w:t>
      </w:r>
      <w:r w:rsidR="00480166" w:rsidRPr="00DB5D66">
        <w:rPr>
          <w:rFonts w:ascii="Arial Nova" w:eastAsia="Times New Roman" w:hAnsi="Arial Nova" w:cs="Arial"/>
          <w:b/>
          <w:color w:val="0B0C0C"/>
          <w:lang w:eastAsia="en-GB"/>
        </w:rPr>
        <w:t>rogramme</w:t>
      </w:r>
      <w:r w:rsidRPr="00DB5D66">
        <w:rPr>
          <w:rFonts w:ascii="Arial Nova" w:eastAsia="Times New Roman" w:hAnsi="Arial Nova" w:cs="Arial"/>
          <w:b/>
          <w:color w:val="0B0C0C"/>
          <w:lang w:eastAsia="en-GB"/>
        </w:rPr>
        <w:t xml:space="preserve"> 2023 has begun</w:t>
      </w:r>
      <w:r w:rsidR="00E33081" w:rsidRPr="00DB5D66">
        <w:rPr>
          <w:rFonts w:ascii="Arial Nova" w:eastAsia="Times New Roman" w:hAnsi="Arial Nova" w:cs="Arial"/>
          <w:b/>
          <w:color w:val="0B0C0C"/>
          <w:lang w:eastAsia="en-GB"/>
        </w:rPr>
        <w:t xml:space="preserve"> …</w:t>
      </w:r>
    </w:p>
    <w:p w14:paraId="58D1808F" w14:textId="77777777" w:rsidR="00E33081" w:rsidRPr="00DB5D66" w:rsidRDefault="00B11B1C" w:rsidP="00E33081">
      <w:pPr>
        <w:shd w:val="clear" w:color="auto" w:fill="FFFFFF"/>
        <w:spacing w:before="300" w:after="300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Flu 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>is very different from a ‘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heavy cold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>’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. 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>Although h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ealthy individuals usually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 xml:space="preserve"> recover within 2 to 7 days,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 for some hospitalisation, permanent disability or even death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 xml:space="preserve"> are a possibility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  <w:r w:rsidR="005F122A" w:rsidRPr="00DB5D66">
        <w:rPr>
          <w:rFonts w:ascii="Arial Nova" w:eastAsia="Times New Roman" w:hAnsi="Arial Nova" w:cs="Arial"/>
          <w:color w:val="0B0C0C"/>
          <w:lang w:eastAsia="en-GB"/>
        </w:rPr>
        <w:t xml:space="preserve"> </w:t>
      </w:r>
    </w:p>
    <w:p w14:paraId="53976699" w14:textId="544792A4" w:rsidR="00B11B1C" w:rsidRPr="00DB5D66" w:rsidRDefault="005F122A" w:rsidP="00E33081">
      <w:pPr>
        <w:shd w:val="clear" w:color="auto" w:fill="FFFFFF"/>
        <w:spacing w:before="300" w:after="300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The vaccine helps mitigate 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against the 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worst symptoms of the 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flu </w:t>
      </w:r>
      <w:r w:rsidR="003912A7" w:rsidRPr="00DB5D66">
        <w:rPr>
          <w:rFonts w:ascii="Arial Nova" w:eastAsia="Times New Roman" w:hAnsi="Arial Nova" w:cs="Arial"/>
          <w:color w:val="0B0C0C"/>
          <w:lang w:eastAsia="en-GB"/>
        </w:rPr>
        <w:t xml:space="preserve">and 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against the main types of flu 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virus circulating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 among the population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7247E959" w14:textId="3F623116" w:rsidR="00B11B1C" w:rsidRPr="00DB5D66" w:rsidRDefault="00480166" w:rsidP="00E33081">
      <w:pPr>
        <w:shd w:val="clear" w:color="auto" w:fill="FFFFFF"/>
        <w:spacing w:before="300" w:after="300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The following groups are eligible</w:t>
      </w:r>
      <w:r w:rsidR="00702C82" w:rsidRPr="00DB5D66">
        <w:rPr>
          <w:rFonts w:ascii="Arial Nova" w:eastAsia="Times New Roman" w:hAnsi="Arial Nova" w:cs="Arial"/>
          <w:color w:val="0B0C0C"/>
          <w:lang w:eastAsia="en-GB"/>
        </w:rPr>
        <w:t>:</w:t>
      </w:r>
    </w:p>
    <w:p w14:paraId="4BCFFF81" w14:textId="08ED4D38" w:rsidR="00B11B1C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E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veryone aged 65 years and over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0589E197" w14:textId="12B825A7" w:rsidR="00B11B1C" w:rsidRPr="00DB5D66" w:rsidRDefault="00ED21D2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lang w:eastAsia="en-GB"/>
        </w:rPr>
        <w:t xml:space="preserve">Those </w:t>
      </w:r>
      <w:r w:rsidR="00B11B1C" w:rsidRPr="00DB5D66">
        <w:rPr>
          <w:rFonts w:ascii="Arial Nova" w:eastAsia="Times New Roman" w:hAnsi="Arial Nova" w:cs="Arial"/>
          <w:lang w:eastAsia="en-GB"/>
        </w:rPr>
        <w:t>under 65 years of age who</w:t>
      </w:r>
      <w:r w:rsidRPr="00DB5D66">
        <w:rPr>
          <w:rFonts w:ascii="Arial Nova" w:eastAsia="Times New Roman" w:hAnsi="Arial Nova" w:cs="Arial"/>
          <w:lang w:eastAsia="en-GB"/>
        </w:rPr>
        <w:t xml:space="preserve"> are at increased risk from the effects of flu, who have any of the </w:t>
      </w:r>
      <w:hyperlink r:id="rId5" w:anchor="conditions" w:history="1">
        <w:r w:rsidR="00B11B1C" w:rsidRPr="00DB5D66">
          <w:rPr>
            <w:rFonts w:ascii="Arial Nova" w:eastAsia="Times New Roman" w:hAnsi="Arial Nova" w:cs="Arial"/>
            <w:u w:val="single"/>
            <w:lang w:eastAsia="en-GB"/>
          </w:rPr>
          <w:t>medical condition</w:t>
        </w:r>
      </w:hyperlink>
      <w:r w:rsidRPr="00DB5D66">
        <w:rPr>
          <w:rFonts w:ascii="Arial Nova" w:eastAsia="Times New Roman" w:hAnsi="Arial Nova" w:cs="Arial"/>
          <w:u w:val="single"/>
          <w:lang w:eastAsia="en-GB"/>
        </w:rPr>
        <w:t>s</w:t>
      </w:r>
      <w:r w:rsidR="00B11B1C" w:rsidRPr="00DB5D66">
        <w:rPr>
          <w:rFonts w:ascii="Arial Nova" w:eastAsia="Times New Roman" w:hAnsi="Arial Nova" w:cs="Arial"/>
          <w:lang w:eastAsia="en-GB"/>
        </w:rPr>
        <w:t> </w:t>
      </w:r>
      <w:r w:rsidRPr="00DB5D66">
        <w:rPr>
          <w:rFonts w:ascii="Arial Nova" w:eastAsia="Times New Roman" w:hAnsi="Arial Nova" w:cs="Arial"/>
          <w:lang w:eastAsia="en-GB"/>
        </w:rPr>
        <w:t xml:space="preserve">(listed on the NHS website), </w:t>
      </w:r>
      <w:r w:rsidR="00B11B1C" w:rsidRPr="00DB5D66">
        <w:rPr>
          <w:rFonts w:ascii="Arial Nova" w:eastAsia="Times New Roman" w:hAnsi="Arial Nova" w:cs="Arial"/>
          <w:lang w:eastAsia="en-GB"/>
        </w:rPr>
        <w:t xml:space="preserve">including 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children and babies over 6 months of age</w:t>
      </w:r>
      <w:r w:rsidR="00E33081"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15A01CA6" w14:textId="276EF71C" w:rsidR="00B11B1C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A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ll pregnant women</w:t>
      </w:r>
      <w:r w:rsidR="00702C82" w:rsidRPr="00DB5D66">
        <w:rPr>
          <w:rFonts w:ascii="Arial Nova" w:eastAsia="Times New Roman" w:hAnsi="Arial Nova" w:cs="Arial"/>
          <w:color w:val="0B0C0C"/>
          <w:lang w:eastAsia="en-GB"/>
        </w:rPr>
        <w:t>,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 at any stage of pregnancy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3A77C806" w14:textId="4B19F7B1" w:rsidR="00ED21D2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lang w:eastAsia="en-GB"/>
        </w:rPr>
      </w:pPr>
      <w:r w:rsidRPr="00DB5D66">
        <w:rPr>
          <w:rFonts w:ascii="Arial Nova" w:eastAsia="Times New Roman" w:hAnsi="Arial Nova" w:cs="Arial"/>
          <w:lang w:eastAsia="en-GB"/>
        </w:rPr>
        <w:t>A</w:t>
      </w:r>
      <w:r w:rsidR="00ED21D2" w:rsidRPr="00DB5D66">
        <w:rPr>
          <w:rFonts w:ascii="Arial Nova" w:eastAsia="Times New Roman" w:hAnsi="Arial Nova" w:cs="Arial"/>
          <w:lang w:eastAsia="en-GB"/>
        </w:rPr>
        <w:t>l</w:t>
      </w:r>
      <w:r w:rsidR="005F122A" w:rsidRPr="00DB5D66">
        <w:rPr>
          <w:rFonts w:ascii="Arial Nova" w:eastAsia="Times New Roman" w:hAnsi="Arial Nova" w:cs="Arial"/>
          <w:lang w:eastAsia="en-GB"/>
        </w:rPr>
        <w:t>l children 2 and 3 years of age</w:t>
      </w:r>
      <w:r w:rsidRPr="00DB5D66">
        <w:rPr>
          <w:rFonts w:ascii="Arial Nova" w:eastAsia="Times New Roman" w:hAnsi="Arial Nova" w:cs="Arial"/>
          <w:lang w:eastAsia="en-GB"/>
        </w:rPr>
        <w:t>.</w:t>
      </w:r>
    </w:p>
    <w:p w14:paraId="20415F1B" w14:textId="7FF055E0" w:rsidR="00B11B1C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A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ll children in </w:t>
      </w:r>
      <w:r w:rsidR="00893A3B">
        <w:rPr>
          <w:rFonts w:ascii="Arial Nova" w:eastAsia="Times New Roman" w:hAnsi="Arial Nova" w:cs="Arial"/>
          <w:color w:val="0B0C0C"/>
          <w:lang w:eastAsia="en-GB"/>
        </w:rPr>
        <w:t>P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rimary </w:t>
      </w:r>
      <w:r w:rsidR="00893A3B">
        <w:rPr>
          <w:rFonts w:ascii="Arial Nova" w:eastAsia="Times New Roman" w:hAnsi="Arial Nova" w:cs="Arial"/>
          <w:color w:val="0B0C0C"/>
          <w:lang w:eastAsia="en-GB"/>
        </w:rPr>
        <w:t>S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chool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.  The 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 xml:space="preserve">vaccination will take place at 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s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>chool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, not at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 xml:space="preserve"> the 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P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>ractice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06EA48E2" w14:textId="4A6164EB" w:rsidR="00480166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S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ome </w:t>
      </w:r>
      <w:r w:rsidR="00893A3B">
        <w:rPr>
          <w:rFonts w:ascii="Arial Nova" w:eastAsia="Times New Roman" w:hAnsi="Arial Nova" w:cs="Arial"/>
          <w:color w:val="0B0C0C"/>
          <w:lang w:eastAsia="en-GB"/>
        </w:rPr>
        <w:t>S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e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condary </w:t>
      </w:r>
      <w:r w:rsidR="00893A3B">
        <w:rPr>
          <w:rFonts w:ascii="Arial Nova" w:eastAsia="Times New Roman" w:hAnsi="Arial Nova" w:cs="Arial"/>
          <w:color w:val="0B0C0C"/>
          <w:lang w:eastAsia="en-GB"/>
        </w:rPr>
        <w:t>S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chool-aged children (Years 7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-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11)</w:t>
      </w: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.  The 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>vaccination will take place at school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, not at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 xml:space="preserve"> the 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P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>ractice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64FAB0CF" w14:textId="50730F29" w:rsidR="00B11B1C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E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veryone living in a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r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esidential or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n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ursing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h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ome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005DE393" w14:textId="3BAF6157" w:rsidR="00B11B1C" w:rsidRPr="00DB5D66" w:rsidRDefault="00E33081" w:rsidP="00702C82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Arial Nova" w:eastAsia="Times New Roman" w:hAnsi="Arial Nova" w:cs="Arial"/>
          <w:color w:val="0B0C0C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>E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veryone who receives a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C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arer’s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Allowance or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 are the main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c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arer for an older or disabled person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2CF020DF" w14:textId="41C1D5B0" w:rsidR="00480166" w:rsidRPr="00DB5D66" w:rsidRDefault="00E33081" w:rsidP="00702C8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Arial Nova" w:eastAsiaTheme="minorEastAsia" w:hAnsi="Arial Nova" w:cs="Arial"/>
          <w:color w:val="000000" w:themeColor="text1"/>
          <w:kern w:val="24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  A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ll those living with someone who has low</w:t>
      </w:r>
      <w:r w:rsidR="00480166" w:rsidRPr="00DB5D66">
        <w:rPr>
          <w:rFonts w:ascii="Arial Nova" w:eastAsia="Times New Roman" w:hAnsi="Arial Nova" w:cs="Arial"/>
          <w:color w:val="0B0C0C"/>
          <w:lang w:eastAsia="en-GB"/>
        </w:rPr>
        <w:t xml:space="preserve">ered immunity due to disease or 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treatment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</w:p>
    <w:p w14:paraId="1329D3C6" w14:textId="2284AD12" w:rsidR="00B11B1C" w:rsidRPr="00DB5D66" w:rsidRDefault="00E33081" w:rsidP="00702C8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Arial Nova" w:eastAsiaTheme="minorEastAsia" w:hAnsi="Arial Nova" w:cs="Arial"/>
          <w:color w:val="000000" w:themeColor="text1"/>
          <w:kern w:val="24"/>
          <w:lang w:eastAsia="en-GB"/>
        </w:rPr>
      </w:pPr>
      <w:r w:rsidRPr="00DB5D66">
        <w:rPr>
          <w:rFonts w:ascii="Arial Nova" w:eastAsia="Times New Roman" w:hAnsi="Arial Nova" w:cs="Arial"/>
          <w:color w:val="0B0C0C"/>
          <w:lang w:eastAsia="en-GB"/>
        </w:rPr>
        <w:t xml:space="preserve">  A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ll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f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rontline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h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ealth and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s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ocial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c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 xml:space="preserve">are </w:t>
      </w:r>
      <w:r w:rsidR="00FF0F31" w:rsidRPr="00DB5D66">
        <w:rPr>
          <w:rFonts w:ascii="Arial Nova" w:eastAsia="Times New Roman" w:hAnsi="Arial Nova" w:cs="Arial"/>
          <w:color w:val="0B0C0C"/>
          <w:lang w:eastAsia="en-GB"/>
        </w:rPr>
        <w:t>w</w:t>
      </w:r>
      <w:r w:rsidR="00B11B1C" w:rsidRPr="00DB5D66">
        <w:rPr>
          <w:rFonts w:ascii="Arial Nova" w:eastAsia="Times New Roman" w:hAnsi="Arial Nova" w:cs="Arial"/>
          <w:color w:val="0B0C0C"/>
          <w:lang w:eastAsia="en-GB"/>
        </w:rPr>
        <w:t>orkers</w:t>
      </w:r>
      <w:r w:rsidRPr="00DB5D66">
        <w:rPr>
          <w:rFonts w:ascii="Arial Nova" w:eastAsia="Times New Roman" w:hAnsi="Arial Nova" w:cs="Arial"/>
          <w:color w:val="0B0C0C"/>
          <w:lang w:eastAsia="en-GB"/>
        </w:rPr>
        <w:t>.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 </w:t>
      </w:r>
    </w:p>
    <w:p w14:paraId="46ADFCBD" w14:textId="77777777" w:rsidR="003912A7" w:rsidRPr="00DB5D66" w:rsidRDefault="003912A7" w:rsidP="00E33081">
      <w:pPr>
        <w:shd w:val="clear" w:color="auto" w:fill="FFFFFF"/>
        <w:ind w:left="426" w:hanging="426"/>
        <w:jc w:val="both"/>
        <w:rPr>
          <w:rFonts w:ascii="Arial Nova" w:eastAsiaTheme="minorEastAsia" w:hAnsi="Arial Nova" w:cs="Arial"/>
          <w:color w:val="000000" w:themeColor="text1"/>
          <w:kern w:val="24"/>
          <w:lang w:eastAsia="en-GB"/>
        </w:rPr>
      </w:pPr>
    </w:p>
    <w:p w14:paraId="4AAD69F4" w14:textId="77777777" w:rsidR="00FF0F31" w:rsidRPr="00DB5D66" w:rsidRDefault="005F122A" w:rsidP="00E33081">
      <w:pPr>
        <w:jc w:val="both"/>
        <w:rPr>
          <w:rFonts w:ascii="Arial Nova" w:eastAsiaTheme="minorEastAsia" w:hAnsi="Arial Nova" w:cs="Arial"/>
          <w:kern w:val="24"/>
          <w:lang w:eastAsia="en-GB"/>
        </w:rPr>
      </w:pPr>
      <w:r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Unfortunately</w:t>
      </w:r>
      <w:r w:rsidR="00E33081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,</w:t>
      </w:r>
      <w:r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 t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hose aged 50-64 year</w:t>
      </w:r>
      <w:r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s</w:t>
      </w:r>
      <w:r w:rsidR="00FF0F31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,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 who do not fall into any of the </w:t>
      </w:r>
      <w:r w:rsidR="00480166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groups 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above</w:t>
      </w:r>
      <w:r w:rsidR="00E33081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>,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 are </w:t>
      </w:r>
      <w:r w:rsidR="00B11B1C" w:rsidRPr="00DB5D66">
        <w:rPr>
          <w:rFonts w:ascii="Arial Nova" w:eastAsiaTheme="minorEastAsia" w:hAnsi="Arial Nova" w:cs="Arial"/>
          <w:b/>
          <w:bCs/>
          <w:color w:val="000000" w:themeColor="text1"/>
          <w:kern w:val="24"/>
          <w:lang w:eastAsia="en-GB"/>
        </w:rPr>
        <w:t xml:space="preserve">NOT </w:t>
      </w:r>
      <w:r w:rsidR="00B11B1C" w:rsidRPr="00DB5D66">
        <w:rPr>
          <w:rFonts w:ascii="Arial Nova" w:eastAsiaTheme="minorEastAsia" w:hAnsi="Arial Nova" w:cs="Arial"/>
          <w:color w:val="000000" w:themeColor="text1"/>
          <w:kern w:val="24"/>
          <w:lang w:eastAsia="en-GB"/>
        </w:rPr>
        <w:t xml:space="preserve">eligible for NHS flu </w:t>
      </w:r>
      <w:r w:rsidR="00B11B1C" w:rsidRPr="00DB5D66">
        <w:rPr>
          <w:rFonts w:ascii="Arial Nova" w:eastAsiaTheme="minorEastAsia" w:hAnsi="Arial Nova" w:cs="Arial"/>
          <w:kern w:val="24"/>
          <w:lang w:eastAsia="en-GB"/>
        </w:rPr>
        <w:t>vaccines</w:t>
      </w:r>
      <w:r w:rsidR="00ED21D2" w:rsidRPr="00DB5D66">
        <w:rPr>
          <w:rFonts w:ascii="Arial Nova" w:eastAsiaTheme="minorEastAsia" w:hAnsi="Arial Nova" w:cs="Arial"/>
          <w:kern w:val="24"/>
          <w:lang w:eastAsia="en-GB"/>
        </w:rPr>
        <w:t xml:space="preserve"> this year</w:t>
      </w:r>
      <w:r w:rsidR="003912A7" w:rsidRPr="00DB5D66">
        <w:rPr>
          <w:rFonts w:ascii="Arial Nova" w:eastAsiaTheme="minorEastAsia" w:hAnsi="Arial Nova" w:cs="Arial"/>
          <w:kern w:val="24"/>
          <w:lang w:eastAsia="en-GB"/>
        </w:rPr>
        <w:t xml:space="preserve">. </w:t>
      </w:r>
    </w:p>
    <w:p w14:paraId="52BD24DF" w14:textId="77777777" w:rsidR="00FF0F31" w:rsidRPr="00DB5D66" w:rsidRDefault="00FF0F31" w:rsidP="00E33081">
      <w:pPr>
        <w:jc w:val="both"/>
        <w:rPr>
          <w:rFonts w:ascii="Arial Nova" w:eastAsiaTheme="minorEastAsia" w:hAnsi="Arial Nova" w:cs="Arial"/>
          <w:kern w:val="24"/>
          <w:lang w:eastAsia="en-GB"/>
        </w:rPr>
      </w:pPr>
    </w:p>
    <w:p w14:paraId="4EEFF774" w14:textId="57A4BFD4" w:rsidR="00FF0F31" w:rsidRPr="00DB5D66" w:rsidRDefault="003912A7" w:rsidP="00E33081">
      <w:pPr>
        <w:jc w:val="both"/>
        <w:rPr>
          <w:rFonts w:ascii="Arial Nova" w:hAnsi="Arial Nova" w:cs="Arial"/>
        </w:rPr>
      </w:pPr>
      <w:r w:rsidRPr="00DB5D66">
        <w:rPr>
          <w:rFonts w:ascii="Arial Nova" w:hAnsi="Arial Nova" w:cs="Arial"/>
        </w:rPr>
        <w:t xml:space="preserve">Housebound and </w:t>
      </w:r>
      <w:r w:rsidR="00E33081" w:rsidRPr="00DB5D66">
        <w:rPr>
          <w:rFonts w:ascii="Arial Nova" w:hAnsi="Arial Nova" w:cs="Arial"/>
        </w:rPr>
        <w:t>C</w:t>
      </w:r>
      <w:r w:rsidRPr="00DB5D66">
        <w:rPr>
          <w:rFonts w:ascii="Arial Nova" w:hAnsi="Arial Nova" w:cs="Arial"/>
        </w:rPr>
        <w:t xml:space="preserve">are </w:t>
      </w:r>
      <w:r w:rsidR="00E33081" w:rsidRPr="00DB5D66">
        <w:rPr>
          <w:rFonts w:ascii="Arial Nova" w:hAnsi="Arial Nova" w:cs="Arial"/>
        </w:rPr>
        <w:t>H</w:t>
      </w:r>
      <w:r w:rsidRPr="00DB5D66">
        <w:rPr>
          <w:rFonts w:ascii="Arial Nova" w:hAnsi="Arial Nova" w:cs="Arial"/>
        </w:rPr>
        <w:t xml:space="preserve">ome patients will be supported by the </w:t>
      </w:r>
      <w:r w:rsidR="00E33081" w:rsidRPr="00DB5D66">
        <w:rPr>
          <w:rFonts w:ascii="Arial Nova" w:hAnsi="Arial Nova" w:cs="Arial"/>
        </w:rPr>
        <w:t>P</w:t>
      </w:r>
      <w:r w:rsidRPr="00DB5D66">
        <w:rPr>
          <w:rFonts w:ascii="Arial Nova" w:hAnsi="Arial Nova" w:cs="Arial"/>
        </w:rPr>
        <w:t xml:space="preserve">ractice this year and not </w:t>
      </w:r>
      <w:r w:rsidR="00702C82" w:rsidRPr="00DB5D66">
        <w:rPr>
          <w:rFonts w:ascii="Arial Nova" w:hAnsi="Arial Nova" w:cs="Arial"/>
        </w:rPr>
        <w:t xml:space="preserve">the </w:t>
      </w:r>
      <w:r w:rsidRPr="00DB5D66">
        <w:rPr>
          <w:rFonts w:ascii="Arial Nova" w:hAnsi="Arial Nova" w:cs="Arial"/>
        </w:rPr>
        <w:t xml:space="preserve">North West Surrey Integrated Care Services (NICS). </w:t>
      </w:r>
    </w:p>
    <w:p w14:paraId="5F7D03CD" w14:textId="77777777" w:rsidR="00FF0F31" w:rsidRPr="00DB5D66" w:rsidRDefault="00FF0F31" w:rsidP="00E33081">
      <w:pPr>
        <w:jc w:val="both"/>
        <w:rPr>
          <w:rFonts w:ascii="Arial Nova" w:hAnsi="Arial Nova" w:cs="Arial"/>
        </w:rPr>
      </w:pPr>
    </w:p>
    <w:p w14:paraId="1BC5C623" w14:textId="66F4FC39" w:rsidR="003912A7" w:rsidRPr="00DB5D66" w:rsidRDefault="003912A7" w:rsidP="00E33081">
      <w:pPr>
        <w:jc w:val="both"/>
        <w:rPr>
          <w:rFonts w:ascii="Arial Nova" w:hAnsi="Arial Nova" w:cs="Arial"/>
        </w:rPr>
      </w:pPr>
      <w:r w:rsidRPr="00DB5D66">
        <w:rPr>
          <w:rFonts w:ascii="Arial Nova" w:hAnsi="Arial Nova" w:cs="Arial"/>
        </w:rPr>
        <w:t xml:space="preserve">Please also note that NICS/national booking sites will be carrying out the </w:t>
      </w:r>
      <w:r w:rsidR="00E33081" w:rsidRPr="00DB5D66">
        <w:rPr>
          <w:rFonts w:ascii="Arial Nova" w:hAnsi="Arial Nova" w:cs="Arial"/>
        </w:rPr>
        <w:t>A</w:t>
      </w:r>
      <w:r w:rsidRPr="00DB5D66">
        <w:rPr>
          <w:rFonts w:ascii="Arial Nova" w:hAnsi="Arial Nova" w:cs="Arial"/>
        </w:rPr>
        <w:t xml:space="preserve">utumn </w:t>
      </w:r>
      <w:r w:rsidR="00134EB3" w:rsidRPr="00DB5D66">
        <w:rPr>
          <w:rFonts w:ascii="Arial Nova" w:hAnsi="Arial Nova" w:cs="Arial"/>
        </w:rPr>
        <w:t>COVID</w:t>
      </w:r>
      <w:r w:rsidRPr="00DB5D66">
        <w:rPr>
          <w:rFonts w:ascii="Arial Nova" w:hAnsi="Arial Nova" w:cs="Arial"/>
        </w:rPr>
        <w:t xml:space="preserve"> vaccination programme and not the </w:t>
      </w:r>
      <w:r w:rsidR="00E33081" w:rsidRPr="00DB5D66">
        <w:rPr>
          <w:rFonts w:ascii="Arial Nova" w:hAnsi="Arial Nova" w:cs="Arial"/>
        </w:rPr>
        <w:t>P</w:t>
      </w:r>
      <w:r w:rsidRPr="00DB5D66">
        <w:rPr>
          <w:rFonts w:ascii="Arial Nova" w:hAnsi="Arial Nova" w:cs="Arial"/>
        </w:rPr>
        <w:t>ractice.</w:t>
      </w:r>
    </w:p>
    <w:p w14:paraId="0D4F00A3" w14:textId="77777777" w:rsidR="00B11B1C" w:rsidRPr="00DB5D66" w:rsidRDefault="00B11B1C" w:rsidP="00E33081">
      <w:pPr>
        <w:shd w:val="clear" w:color="auto" w:fill="FFFFFF"/>
        <w:ind w:left="-60"/>
        <w:jc w:val="both"/>
        <w:rPr>
          <w:rFonts w:ascii="Arial Nova" w:eastAsia="Times New Roman" w:hAnsi="Arial Nova" w:cs="Arial"/>
          <w:color w:val="0B0C0C"/>
          <w:lang w:eastAsia="en-GB"/>
        </w:rPr>
      </w:pPr>
    </w:p>
    <w:p w14:paraId="75A914B1" w14:textId="581300ED" w:rsidR="00FF0F31" w:rsidRPr="00DB5D66" w:rsidRDefault="00B11B1C" w:rsidP="00E33081">
      <w:pPr>
        <w:jc w:val="both"/>
        <w:rPr>
          <w:rFonts w:ascii="Arial Nova" w:hAnsi="Arial Nova" w:cs="Arial"/>
        </w:rPr>
      </w:pPr>
      <w:r w:rsidRPr="00DB5D66">
        <w:rPr>
          <w:rFonts w:ascii="Arial Nova" w:hAnsi="Arial Nova" w:cs="Arial"/>
        </w:rPr>
        <w:t>The focus of vaccine delivery at SHC will be on Saturdays</w:t>
      </w:r>
      <w:r w:rsidR="00E33081" w:rsidRPr="00DB5D66">
        <w:rPr>
          <w:rFonts w:ascii="Arial Nova" w:hAnsi="Arial Nova" w:cs="Arial"/>
        </w:rPr>
        <w:t>.  I</w:t>
      </w:r>
      <w:r w:rsidR="00480166" w:rsidRPr="00DB5D66">
        <w:rPr>
          <w:rFonts w:ascii="Arial Nova" w:hAnsi="Arial Nova" w:cs="Arial"/>
        </w:rPr>
        <w:t>nvitations have been sent to all eligible patients to book their appointment</w:t>
      </w:r>
      <w:r w:rsidR="00702C82" w:rsidRPr="00DB5D66">
        <w:rPr>
          <w:rFonts w:ascii="Arial Nova" w:hAnsi="Arial Nova" w:cs="Arial"/>
        </w:rPr>
        <w:t xml:space="preserve">, </w:t>
      </w:r>
      <w:r w:rsidR="00480166" w:rsidRPr="00DB5D66">
        <w:rPr>
          <w:rFonts w:ascii="Arial Nova" w:hAnsi="Arial Nova" w:cs="Arial"/>
        </w:rPr>
        <w:t>and we encou</w:t>
      </w:r>
      <w:r w:rsidR="00E33081" w:rsidRPr="00DB5D66">
        <w:rPr>
          <w:rFonts w:ascii="Arial Nova" w:hAnsi="Arial Nova" w:cs="Arial"/>
        </w:rPr>
        <w:t>r</w:t>
      </w:r>
      <w:r w:rsidR="00480166" w:rsidRPr="00DB5D66">
        <w:rPr>
          <w:rFonts w:ascii="Arial Nova" w:hAnsi="Arial Nova" w:cs="Arial"/>
        </w:rPr>
        <w:t xml:space="preserve">age </w:t>
      </w:r>
      <w:r w:rsidR="005F122A" w:rsidRPr="00DB5D66">
        <w:rPr>
          <w:rFonts w:ascii="Arial Nova" w:hAnsi="Arial Nova" w:cs="Arial"/>
        </w:rPr>
        <w:t>those invited to have their vaccination.</w:t>
      </w:r>
      <w:r w:rsidR="003912A7" w:rsidRPr="00DB5D66">
        <w:rPr>
          <w:rFonts w:ascii="Arial Nova" w:hAnsi="Arial Nova" w:cs="Arial"/>
        </w:rPr>
        <w:t xml:space="preserve"> </w:t>
      </w:r>
    </w:p>
    <w:p w14:paraId="79153AE6" w14:textId="77777777" w:rsidR="00FF0F31" w:rsidRPr="00DB5D66" w:rsidRDefault="00FF0F31" w:rsidP="00E33081">
      <w:pPr>
        <w:jc w:val="both"/>
        <w:rPr>
          <w:rFonts w:ascii="Arial Nova" w:hAnsi="Arial Nova" w:cs="Arial"/>
        </w:rPr>
      </w:pPr>
    </w:p>
    <w:p w14:paraId="2AD8317A" w14:textId="3BCDBAE4" w:rsidR="00EF6730" w:rsidRPr="00DB5D66" w:rsidRDefault="005F122A" w:rsidP="00E33081">
      <w:pPr>
        <w:jc w:val="both"/>
        <w:rPr>
          <w:rFonts w:ascii="Arial Nova" w:hAnsi="Arial Nova" w:cs="Arial"/>
        </w:rPr>
      </w:pPr>
      <w:r w:rsidRPr="00DB5D66">
        <w:rPr>
          <w:rFonts w:ascii="Arial Nova" w:hAnsi="Arial Nova" w:cs="Arial"/>
        </w:rPr>
        <w:t xml:space="preserve">As an aside, please do attend all scheduled appointments. The number of patients booked in to see health professionals at the </w:t>
      </w:r>
      <w:r w:rsidR="00E33081" w:rsidRPr="00DB5D66">
        <w:rPr>
          <w:rFonts w:ascii="Arial Nova" w:hAnsi="Arial Nova" w:cs="Arial"/>
        </w:rPr>
        <w:t>C</w:t>
      </w:r>
      <w:r w:rsidRPr="00DB5D66">
        <w:rPr>
          <w:rFonts w:ascii="Arial Nova" w:hAnsi="Arial Nova" w:cs="Arial"/>
        </w:rPr>
        <w:t xml:space="preserve">linic </w:t>
      </w:r>
      <w:r w:rsidR="003912A7" w:rsidRPr="00DB5D66">
        <w:rPr>
          <w:rFonts w:ascii="Arial Nova" w:hAnsi="Arial Nova" w:cs="Arial"/>
        </w:rPr>
        <w:t>in August</w:t>
      </w:r>
      <w:r w:rsidR="00E33081" w:rsidRPr="00DB5D66">
        <w:rPr>
          <w:rFonts w:ascii="Arial Nova" w:hAnsi="Arial Nova" w:cs="Arial"/>
        </w:rPr>
        <w:t xml:space="preserve">, </w:t>
      </w:r>
      <w:r w:rsidRPr="00DB5D66">
        <w:rPr>
          <w:rFonts w:ascii="Arial Nova" w:hAnsi="Arial Nova" w:cs="Arial"/>
        </w:rPr>
        <w:t>and those who did not attend</w:t>
      </w:r>
      <w:r w:rsidR="00FF0F31" w:rsidRPr="00DB5D66">
        <w:rPr>
          <w:rFonts w:ascii="Arial Nova" w:hAnsi="Arial Nova" w:cs="Arial"/>
        </w:rPr>
        <w:t>,</w:t>
      </w:r>
      <w:r w:rsidRPr="00DB5D66">
        <w:rPr>
          <w:rFonts w:ascii="Arial Nova" w:hAnsi="Arial Nova" w:cs="Arial"/>
        </w:rPr>
        <w:t xml:space="preserve"> can be seen below.</w:t>
      </w:r>
    </w:p>
    <w:p w14:paraId="42EEDB01" w14:textId="77777777" w:rsidR="005F122A" w:rsidRPr="00DB5D66" w:rsidRDefault="005F122A" w:rsidP="00E33081">
      <w:pPr>
        <w:jc w:val="both"/>
        <w:rPr>
          <w:rFonts w:ascii="Arial Nova" w:hAnsi="Arial Nov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134"/>
      </w:tblGrid>
      <w:tr w:rsidR="00EF6730" w:rsidRPr="00DB5D66" w14:paraId="634AA8DB" w14:textId="77777777" w:rsidTr="00FF0F31">
        <w:trPr>
          <w:jc w:val="center"/>
        </w:trPr>
        <w:tc>
          <w:tcPr>
            <w:tcW w:w="6516" w:type="dxa"/>
          </w:tcPr>
          <w:p w14:paraId="60548C5A" w14:textId="19B3EED9" w:rsidR="00EF6730" w:rsidRPr="00DB5D66" w:rsidRDefault="00EF6730" w:rsidP="00FF0F31">
            <w:pPr>
              <w:spacing w:line="360" w:lineRule="auto"/>
              <w:jc w:val="both"/>
              <w:rPr>
                <w:rFonts w:ascii="Arial Nova" w:hAnsi="Arial Nova" w:cs="Arial"/>
              </w:rPr>
            </w:pPr>
            <w:r w:rsidRPr="00DB5D66">
              <w:rPr>
                <w:rFonts w:ascii="Arial Nova" w:hAnsi="Arial Nova" w:cs="Arial"/>
              </w:rPr>
              <w:t xml:space="preserve">Number of appointments booked at the </w:t>
            </w:r>
            <w:r w:rsidR="00E33081" w:rsidRPr="00DB5D66">
              <w:rPr>
                <w:rFonts w:ascii="Arial Nova" w:hAnsi="Arial Nova" w:cs="Arial"/>
              </w:rPr>
              <w:t>P</w:t>
            </w:r>
            <w:r w:rsidRPr="00DB5D66">
              <w:rPr>
                <w:rFonts w:ascii="Arial Nova" w:hAnsi="Arial Nova" w:cs="Arial"/>
              </w:rPr>
              <w:t>ractice in August</w:t>
            </w:r>
            <w:r w:rsidR="00FF0F31" w:rsidRPr="00DB5D66">
              <w:rPr>
                <w:rFonts w:ascii="Arial Nova" w:hAnsi="Arial Nova" w:cs="Arial"/>
              </w:rPr>
              <w:t xml:space="preserve"> ………</w:t>
            </w:r>
          </w:p>
        </w:tc>
        <w:tc>
          <w:tcPr>
            <w:tcW w:w="1134" w:type="dxa"/>
          </w:tcPr>
          <w:p w14:paraId="2699547B" w14:textId="77777777" w:rsidR="00EF6730" w:rsidRPr="00DB5D66" w:rsidRDefault="00EF6730" w:rsidP="00FF0F31">
            <w:pPr>
              <w:spacing w:line="360" w:lineRule="auto"/>
              <w:jc w:val="both"/>
              <w:rPr>
                <w:rFonts w:ascii="Arial Nova" w:hAnsi="Arial Nova" w:cs="Arial"/>
                <w:b/>
              </w:rPr>
            </w:pPr>
            <w:r w:rsidRPr="00DB5D66">
              <w:rPr>
                <w:rFonts w:ascii="Arial Nova" w:hAnsi="Arial Nova" w:cs="Arial"/>
                <w:b/>
              </w:rPr>
              <w:t>6,344</w:t>
            </w:r>
          </w:p>
        </w:tc>
      </w:tr>
      <w:tr w:rsidR="00EF6730" w:rsidRPr="00DB5D66" w14:paraId="6EF8C9B3" w14:textId="77777777" w:rsidTr="00FF0F31">
        <w:trPr>
          <w:jc w:val="center"/>
        </w:trPr>
        <w:tc>
          <w:tcPr>
            <w:tcW w:w="6516" w:type="dxa"/>
          </w:tcPr>
          <w:p w14:paraId="423CBFE9" w14:textId="36BB552B" w:rsidR="00EF6730" w:rsidRPr="00DB5D66" w:rsidRDefault="00EF6730" w:rsidP="00FF0F31">
            <w:pPr>
              <w:spacing w:line="360" w:lineRule="auto"/>
              <w:jc w:val="both"/>
              <w:rPr>
                <w:rFonts w:ascii="Arial Nova" w:hAnsi="Arial Nova" w:cs="Arial"/>
              </w:rPr>
            </w:pPr>
            <w:r w:rsidRPr="00DB5D66">
              <w:rPr>
                <w:rFonts w:ascii="Arial Nova" w:hAnsi="Arial Nova" w:cs="Arial"/>
              </w:rPr>
              <w:t>Number of appointments not attended (DNA)</w:t>
            </w:r>
            <w:r w:rsidR="00FF0F31" w:rsidRPr="00DB5D66">
              <w:rPr>
                <w:rFonts w:ascii="Arial Nova" w:hAnsi="Arial Nova" w:cs="Arial"/>
              </w:rPr>
              <w:t xml:space="preserve"> ……………………..</w:t>
            </w:r>
          </w:p>
        </w:tc>
        <w:tc>
          <w:tcPr>
            <w:tcW w:w="1134" w:type="dxa"/>
          </w:tcPr>
          <w:p w14:paraId="2F9B2C21" w14:textId="77777777" w:rsidR="00EF6730" w:rsidRPr="00DB5D66" w:rsidRDefault="00EF6730" w:rsidP="00FF0F31">
            <w:pPr>
              <w:spacing w:line="360" w:lineRule="auto"/>
              <w:jc w:val="both"/>
              <w:rPr>
                <w:rFonts w:ascii="Arial Nova" w:hAnsi="Arial Nova" w:cs="Arial"/>
                <w:b/>
              </w:rPr>
            </w:pPr>
            <w:r w:rsidRPr="00DB5D66">
              <w:rPr>
                <w:rFonts w:ascii="Arial Nova" w:hAnsi="Arial Nova" w:cs="Arial"/>
                <w:b/>
              </w:rPr>
              <w:t>236</w:t>
            </w:r>
          </w:p>
        </w:tc>
      </w:tr>
    </w:tbl>
    <w:p w14:paraId="595EBE74" w14:textId="77777777" w:rsidR="00EF6730" w:rsidRPr="00DB5D66" w:rsidRDefault="00EF6730" w:rsidP="00E33081">
      <w:pPr>
        <w:jc w:val="both"/>
        <w:rPr>
          <w:rFonts w:ascii="Arial Nova" w:hAnsi="Arial Nova" w:cs="Arial"/>
        </w:rPr>
      </w:pPr>
    </w:p>
    <w:p w14:paraId="22BD4DAC" w14:textId="2840765F" w:rsidR="00480166" w:rsidRPr="00702C82" w:rsidRDefault="00FF0F31" w:rsidP="00702C82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702C82">
        <w:rPr>
          <w:rFonts w:ascii="Arial" w:hAnsi="Arial" w:cs="Arial"/>
          <w:i/>
          <w:iCs/>
          <w:sz w:val="24"/>
          <w:szCs w:val="24"/>
        </w:rPr>
        <w:t>36</w:t>
      </w:r>
      <w:r w:rsidR="00702C82" w:rsidRPr="00702C82">
        <w:rPr>
          <w:rFonts w:ascii="Arial" w:hAnsi="Arial" w:cs="Arial"/>
          <w:i/>
          <w:iCs/>
          <w:sz w:val="24"/>
          <w:szCs w:val="24"/>
        </w:rPr>
        <w:t>0</w:t>
      </w:r>
      <w:r w:rsidRPr="00702C82">
        <w:rPr>
          <w:rFonts w:ascii="Arial" w:hAnsi="Arial" w:cs="Arial"/>
          <w:i/>
          <w:iCs/>
          <w:sz w:val="24"/>
          <w:szCs w:val="24"/>
        </w:rPr>
        <w:t xml:space="preserve"> words </w:t>
      </w:r>
    </w:p>
    <w:sectPr w:rsidR="00480166" w:rsidRPr="0070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B"/>
    <w:multiLevelType w:val="multilevel"/>
    <w:tmpl w:val="3CC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3138C"/>
    <w:multiLevelType w:val="hybridMultilevel"/>
    <w:tmpl w:val="4794509A"/>
    <w:lvl w:ilvl="0" w:tplc="8BB8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D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8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A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6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6037E"/>
    <w:multiLevelType w:val="hybridMultilevel"/>
    <w:tmpl w:val="5D74BBB0"/>
    <w:lvl w:ilvl="0" w:tplc="0380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2C52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6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8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D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B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B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2F3001"/>
    <w:multiLevelType w:val="hybridMultilevel"/>
    <w:tmpl w:val="809E9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8034482">
    <w:abstractNumId w:val="3"/>
  </w:num>
  <w:num w:numId="2" w16cid:durableId="900018466">
    <w:abstractNumId w:val="2"/>
  </w:num>
  <w:num w:numId="3" w16cid:durableId="1598556134">
    <w:abstractNumId w:val="1"/>
  </w:num>
  <w:num w:numId="4" w16cid:durableId="1689064797">
    <w:abstractNumId w:val="0"/>
  </w:num>
  <w:num w:numId="5" w16cid:durableId="46848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C"/>
    <w:rsid w:val="000520CF"/>
    <w:rsid w:val="00134EB3"/>
    <w:rsid w:val="002218C5"/>
    <w:rsid w:val="003912A7"/>
    <w:rsid w:val="00403F2D"/>
    <w:rsid w:val="00480166"/>
    <w:rsid w:val="00552A80"/>
    <w:rsid w:val="005F122A"/>
    <w:rsid w:val="006F78DD"/>
    <w:rsid w:val="00702C82"/>
    <w:rsid w:val="007747B0"/>
    <w:rsid w:val="00893A3B"/>
    <w:rsid w:val="00B11B1C"/>
    <w:rsid w:val="00B304BB"/>
    <w:rsid w:val="00DB5D66"/>
    <w:rsid w:val="00E33081"/>
    <w:rsid w:val="00E53D99"/>
    <w:rsid w:val="00ED21D2"/>
    <w:rsid w:val="00EF673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7D23"/>
  <w15:chartTrackingRefBased/>
  <w15:docId w15:val="{DF1193B3-61B6-467A-ABE3-AD463F6C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1C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11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1B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B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23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1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44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8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1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28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57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5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0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1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flu-vaccination-who-should-have-it-this-winter-and-why/the-flu-vaccination-who-should-have-it-and-why-winter-2023-to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 Richard (Sunbury Group Practice)</dc:creator>
  <cp:keywords/>
  <dc:description/>
  <cp:lastModifiedBy>Polly Healy</cp:lastModifiedBy>
  <cp:revision>4</cp:revision>
  <cp:lastPrinted>2023-09-10T12:16:00Z</cp:lastPrinted>
  <dcterms:created xsi:type="dcterms:W3CDTF">2023-09-10T16:49:00Z</dcterms:created>
  <dcterms:modified xsi:type="dcterms:W3CDTF">2023-10-06T15:19:00Z</dcterms:modified>
</cp:coreProperties>
</file>