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86B3" w14:textId="539E90A1" w:rsidR="009C25E3" w:rsidRPr="002273DE" w:rsidRDefault="002273DE" w:rsidP="002273DE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center"/>
        <w:rPr>
          <w:sz w:val="36"/>
          <w:szCs w:val="36"/>
        </w:rPr>
      </w:pPr>
      <w:r w:rsidRPr="002273DE">
        <w:rPr>
          <w:sz w:val="36"/>
          <w:szCs w:val="36"/>
        </w:rPr>
        <w:t>MINI BULLETIN – 22 February 2024</w:t>
      </w:r>
    </w:p>
    <w:p w14:paraId="1D16A457" w14:textId="77777777" w:rsidR="002273DE" w:rsidRDefault="002273DE"/>
    <w:p w14:paraId="1EFFE18E" w14:textId="74FE0E5F" w:rsidR="002273DE" w:rsidRDefault="002273DE" w:rsidP="002273DE">
      <w:pPr>
        <w:shd w:val="clear" w:color="auto" w:fill="FFFFFF"/>
        <w:spacing w:line="384" w:lineRule="atLeast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To ask His Majesty's Government for each year in England since 2008, how many</w:t>
      </w:r>
      <w:r>
        <w:rPr>
          <w:rFonts w:eastAsia="Times New Roman" w:cstheme="minorHAnsi"/>
          <w:color w:val="333333"/>
        </w:rPr>
        <w:t>:</w:t>
      </w:r>
      <w:r>
        <w:rPr>
          <w:rFonts w:eastAsia="Times New Roman" w:cstheme="minorHAnsi"/>
          <w:color w:val="333333"/>
        </w:rPr>
        <w:t xml:space="preserve"> (1) </w:t>
      </w:r>
      <w:hyperlink r:id="rId7" w:history="1">
        <w:r>
          <w:rPr>
            <w:rStyle w:val="Hyperlink"/>
            <w:rFonts w:eastAsia="Times New Roman" w:cstheme="minorHAnsi"/>
            <w:color w:val="4FADED"/>
          </w:rPr>
          <w:t>GP</w:t>
        </w:r>
      </w:hyperlink>
      <w:r>
        <w:rPr>
          <w:rFonts w:eastAsia="Times New Roman" w:cstheme="minorHAnsi"/>
          <w:color w:val="333333"/>
        </w:rPr>
        <w:t> </w:t>
      </w:r>
      <w:r>
        <w:rPr>
          <w:rFonts w:eastAsia="Times New Roman" w:cstheme="minorHAnsi"/>
          <w:color w:val="333333"/>
        </w:rPr>
        <w:t>S</w:t>
      </w:r>
      <w:r>
        <w:rPr>
          <w:rFonts w:eastAsia="Times New Roman" w:cstheme="minorHAnsi"/>
          <w:color w:val="333333"/>
        </w:rPr>
        <w:t xml:space="preserve">urgeries (including </w:t>
      </w:r>
      <w:r>
        <w:rPr>
          <w:rFonts w:eastAsia="Times New Roman" w:cstheme="minorHAnsi"/>
          <w:color w:val="333333"/>
        </w:rPr>
        <w:t>B</w:t>
      </w:r>
      <w:r>
        <w:rPr>
          <w:rFonts w:eastAsia="Times New Roman" w:cstheme="minorHAnsi"/>
          <w:color w:val="333333"/>
        </w:rPr>
        <w:t xml:space="preserve">ranch </w:t>
      </w:r>
      <w:r>
        <w:rPr>
          <w:rFonts w:eastAsia="Times New Roman" w:cstheme="minorHAnsi"/>
          <w:color w:val="333333"/>
        </w:rPr>
        <w:t>P</w:t>
      </w:r>
      <w:r>
        <w:rPr>
          <w:rFonts w:eastAsia="Times New Roman" w:cstheme="minorHAnsi"/>
          <w:color w:val="333333"/>
        </w:rPr>
        <w:t>ractices) were open</w:t>
      </w:r>
      <w:r>
        <w:rPr>
          <w:rFonts w:eastAsia="Times New Roman" w:cstheme="minorHAnsi"/>
          <w:color w:val="333333"/>
        </w:rPr>
        <w:t>.</w:t>
      </w:r>
    </w:p>
    <w:p w14:paraId="61A9B886" w14:textId="77777777" w:rsidR="002273DE" w:rsidRDefault="002273DE" w:rsidP="002273DE">
      <w:pPr>
        <w:shd w:val="clear" w:color="auto" w:fill="FFFFFF"/>
        <w:spacing w:line="384" w:lineRule="atLeast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(2) GP </w:t>
      </w:r>
      <w:r>
        <w:rPr>
          <w:rFonts w:eastAsia="Times New Roman" w:cstheme="minorHAnsi"/>
          <w:color w:val="333333"/>
        </w:rPr>
        <w:t>S</w:t>
      </w:r>
      <w:r>
        <w:rPr>
          <w:rFonts w:eastAsia="Times New Roman" w:cstheme="minorHAnsi"/>
          <w:color w:val="333333"/>
        </w:rPr>
        <w:t xml:space="preserve">urgeries (including </w:t>
      </w:r>
      <w:r>
        <w:rPr>
          <w:rFonts w:eastAsia="Times New Roman" w:cstheme="minorHAnsi"/>
          <w:color w:val="333333"/>
        </w:rPr>
        <w:t>B</w:t>
      </w:r>
      <w:r>
        <w:rPr>
          <w:rFonts w:eastAsia="Times New Roman" w:cstheme="minorHAnsi"/>
          <w:color w:val="333333"/>
        </w:rPr>
        <w:t xml:space="preserve">ranch </w:t>
      </w:r>
      <w:r>
        <w:rPr>
          <w:rFonts w:eastAsia="Times New Roman" w:cstheme="minorHAnsi"/>
          <w:color w:val="333333"/>
        </w:rPr>
        <w:t>P</w:t>
      </w:r>
      <w:r>
        <w:rPr>
          <w:rFonts w:eastAsia="Times New Roman" w:cstheme="minorHAnsi"/>
          <w:color w:val="333333"/>
        </w:rPr>
        <w:t>ractices) were newly opened</w:t>
      </w:r>
      <w:r>
        <w:rPr>
          <w:rFonts w:eastAsia="Times New Roman" w:cstheme="minorHAnsi"/>
          <w:color w:val="333333"/>
        </w:rPr>
        <w:t>.</w:t>
      </w:r>
    </w:p>
    <w:p w14:paraId="393DDB15" w14:textId="49AC607A" w:rsidR="002273DE" w:rsidRDefault="002273DE" w:rsidP="002273DE">
      <w:pPr>
        <w:shd w:val="clear" w:color="auto" w:fill="FFFFFF"/>
        <w:spacing w:line="384" w:lineRule="atLeast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(3) GP </w:t>
      </w:r>
      <w:r>
        <w:rPr>
          <w:rFonts w:eastAsia="Times New Roman" w:cstheme="minorHAnsi"/>
          <w:color w:val="333333"/>
        </w:rPr>
        <w:t>P</w:t>
      </w:r>
      <w:r>
        <w:rPr>
          <w:rFonts w:eastAsia="Times New Roman" w:cstheme="minorHAnsi"/>
          <w:color w:val="333333"/>
        </w:rPr>
        <w:t>ractices were operating.</w:t>
      </w:r>
    </w:p>
    <w:p w14:paraId="150A7E96" w14:textId="77777777" w:rsidR="002273DE" w:rsidRDefault="002273DE" w:rsidP="002273DE">
      <w:pPr>
        <w:rPr>
          <w:rFonts w:cs="Calibri"/>
        </w:rPr>
      </w:pPr>
      <w:r>
        <w:t> </w:t>
      </w:r>
    </w:p>
    <w:p w14:paraId="4EA6FEAF" w14:textId="77777777" w:rsidR="002273DE" w:rsidRPr="002273DE" w:rsidRDefault="002273DE" w:rsidP="002273DE">
      <w:pPr>
        <w:numPr>
          <w:ilvl w:val="0"/>
          <w:numId w:val="1"/>
        </w:numPr>
        <w:shd w:val="clear" w:color="auto" w:fill="FFFFFF"/>
        <w:spacing w:after="75" w:line="240" w:lineRule="auto"/>
        <w:jc w:val="center"/>
        <w:rPr>
          <w:rFonts w:eastAsia="Times New Roman"/>
        </w:rPr>
      </w:pPr>
      <w:hyperlink r:id="rId8" w:history="1">
        <w:r w:rsidRPr="002273DE">
          <w:rPr>
            <w:rStyle w:val="Hyperlink"/>
            <w:rFonts w:eastAsia="Times New Roman"/>
            <w:color w:val="auto"/>
          </w:rPr>
          <w:t>Hansard source</w:t>
        </w:r>
      </w:hyperlink>
      <w:r w:rsidRPr="002273DE">
        <w:rPr>
          <w:rFonts w:eastAsia="Times New Roman"/>
        </w:rPr>
        <w:t xml:space="preserve">(Citation: HL Deb, 21 February 2024, </w:t>
      </w:r>
      <w:proofErr w:type="spellStart"/>
      <w:r w:rsidRPr="002273DE">
        <w:rPr>
          <w:rFonts w:eastAsia="Times New Roman"/>
        </w:rPr>
        <w:t>cW</w:t>
      </w:r>
      <w:proofErr w:type="spellEnd"/>
      <w:r w:rsidRPr="002273DE">
        <w:rPr>
          <w:rFonts w:eastAsia="Times New Roman"/>
        </w:rPr>
        <w:t>)</w:t>
      </w:r>
    </w:p>
    <w:bookmarkStart w:id="0" w:name="gHL2289.r0"/>
    <w:bookmarkEnd w:id="0"/>
    <w:p w14:paraId="77855045" w14:textId="77777777" w:rsidR="002273DE" w:rsidRPr="002273DE" w:rsidRDefault="002273DE" w:rsidP="002273DE">
      <w:pPr>
        <w:shd w:val="clear" w:color="auto" w:fill="FFFFFF" w:themeFill="background1"/>
        <w:spacing w:line="240" w:lineRule="atLeast"/>
        <w:jc w:val="center"/>
        <w:outlineLvl w:val="1"/>
        <w:rPr>
          <w:rFonts w:eastAsia="Times New Roman" w:cstheme="minorHAnsi"/>
          <w:b/>
          <w:bCs/>
        </w:rPr>
      </w:pPr>
      <w:r w:rsidRPr="002273DE">
        <w:rPr>
          <w:rFonts w:eastAsia="Times New Roman" w:cstheme="minorHAnsi"/>
          <w:b/>
          <w:bCs/>
        </w:rPr>
        <w:fldChar w:fldCharType="begin"/>
      </w:r>
      <w:r w:rsidRPr="002273DE">
        <w:rPr>
          <w:rFonts w:eastAsia="Times New Roman" w:cstheme="minorHAnsi"/>
          <w:b/>
          <w:bCs/>
        </w:rPr>
        <w:instrText>HYPERLINK "https://www.theyworkforyou.com/peer/?p=26093"</w:instrText>
      </w:r>
      <w:r w:rsidRPr="002273DE">
        <w:rPr>
          <w:rFonts w:eastAsia="Times New Roman" w:cstheme="minorHAnsi"/>
          <w:b/>
          <w:bCs/>
        </w:rPr>
      </w:r>
      <w:r w:rsidRPr="002273DE">
        <w:rPr>
          <w:rFonts w:eastAsia="Times New Roman" w:cstheme="minorHAnsi"/>
          <w:b/>
          <w:bCs/>
        </w:rPr>
        <w:fldChar w:fldCharType="separate"/>
      </w:r>
      <w:r w:rsidRPr="002273DE">
        <w:rPr>
          <w:rStyle w:val="Hyperlink"/>
          <w:rFonts w:eastAsia="Times New Roman" w:cstheme="minorHAnsi"/>
          <w:color w:val="auto"/>
        </w:rPr>
        <w:t>Lord Markham</w:t>
      </w:r>
      <w:r w:rsidRPr="002273DE">
        <w:rPr>
          <w:rStyle w:val="Hyperlink"/>
          <w:rFonts w:eastAsia="Times New Roman" w:cstheme="minorHAnsi"/>
          <w:b/>
          <w:bCs/>
          <w:color w:val="auto"/>
        </w:rPr>
        <w:t> </w:t>
      </w:r>
      <w:r w:rsidRPr="002273DE">
        <w:rPr>
          <w:rStyle w:val="Hyperlink"/>
          <w:rFonts w:eastAsia="Times New Roman" w:cstheme="minorHAnsi"/>
          <w:color w:val="auto"/>
        </w:rPr>
        <w:t>The Parliamentary Under-Secretary for Health and Social Care</w:t>
      </w:r>
      <w:r w:rsidRPr="002273DE">
        <w:rPr>
          <w:rFonts w:eastAsia="Times New Roman" w:cstheme="minorHAnsi"/>
          <w:b/>
          <w:bCs/>
        </w:rPr>
        <w:fldChar w:fldCharType="end"/>
      </w:r>
    </w:p>
    <w:p w14:paraId="506558F5" w14:textId="1A45AA74" w:rsidR="002273DE" w:rsidRDefault="002273DE" w:rsidP="002273DE">
      <w:pPr>
        <w:shd w:val="clear" w:color="auto" w:fill="FFFFFF" w:themeFill="background1"/>
        <w:spacing w:after="240" w:line="384" w:lineRule="atLeast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Data prior to 2013 is not available. The following table shows the number of open </w:t>
      </w:r>
      <w:r>
        <w:rPr>
          <w:rFonts w:eastAsia="Times New Roman" w:cstheme="minorHAnsi"/>
          <w:color w:val="333333"/>
        </w:rPr>
        <w:t>P</w:t>
      </w:r>
      <w:r>
        <w:rPr>
          <w:rFonts w:eastAsia="Times New Roman" w:cstheme="minorHAnsi"/>
          <w:color w:val="333333"/>
        </w:rPr>
        <w:t xml:space="preserve">ractices and newly opened </w:t>
      </w:r>
      <w:r>
        <w:rPr>
          <w:rFonts w:eastAsia="Times New Roman" w:cstheme="minorHAnsi"/>
          <w:color w:val="333333"/>
        </w:rPr>
        <w:t>P</w:t>
      </w:r>
      <w:r>
        <w:rPr>
          <w:rFonts w:eastAsia="Times New Roman" w:cstheme="minorHAnsi"/>
          <w:color w:val="333333"/>
        </w:rPr>
        <w:t xml:space="preserve">ractices, including </w:t>
      </w:r>
      <w:r>
        <w:rPr>
          <w:rFonts w:eastAsia="Times New Roman" w:cstheme="minorHAnsi"/>
          <w:color w:val="333333"/>
        </w:rPr>
        <w:t>B</w:t>
      </w:r>
      <w:r>
        <w:rPr>
          <w:rFonts w:eastAsia="Times New Roman" w:cstheme="minorHAnsi"/>
          <w:color w:val="333333"/>
        </w:rPr>
        <w:t>ranches, each September from 2013 to September 2023, the most recent period for which data is available: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3118"/>
        <w:gridCol w:w="3828"/>
      </w:tblGrid>
      <w:tr w:rsidR="002273DE" w14:paraId="20C9B1A1" w14:textId="77777777" w:rsidTr="002273DE">
        <w:tc>
          <w:tcPr>
            <w:tcW w:w="1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20" w:type="dxa"/>
              <w:left w:w="133" w:type="dxa"/>
              <w:bottom w:w="120" w:type="dxa"/>
              <w:right w:w="133" w:type="dxa"/>
            </w:tcMar>
            <w:vAlign w:val="center"/>
            <w:hideMark/>
          </w:tcPr>
          <w:p w14:paraId="5B128C70" w14:textId="77777777" w:rsidR="002273DE" w:rsidRDefault="002273DE" w:rsidP="002273D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Year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20" w:type="dxa"/>
              <w:left w:w="133" w:type="dxa"/>
              <w:bottom w:w="120" w:type="dxa"/>
              <w:right w:w="133" w:type="dxa"/>
            </w:tcMar>
            <w:vAlign w:val="center"/>
            <w:hideMark/>
          </w:tcPr>
          <w:p w14:paraId="71A291EE" w14:textId="092EBA22" w:rsidR="002273DE" w:rsidRDefault="002273DE" w:rsidP="002273D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 xml:space="preserve">Open </w:t>
            </w:r>
            <w:r>
              <w:rPr>
                <w:rFonts w:eastAsia="Times New Roman" w:cstheme="minorHAnsi"/>
                <w:color w:val="222222"/>
              </w:rPr>
              <w:t>P</w:t>
            </w:r>
            <w:r>
              <w:rPr>
                <w:rFonts w:eastAsia="Times New Roman" w:cstheme="minorHAnsi"/>
                <w:color w:val="222222"/>
              </w:rPr>
              <w:t>ractices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120" w:type="dxa"/>
              <w:left w:w="133" w:type="dxa"/>
              <w:bottom w:w="120" w:type="dxa"/>
              <w:right w:w="133" w:type="dxa"/>
            </w:tcMar>
            <w:vAlign w:val="center"/>
            <w:hideMark/>
          </w:tcPr>
          <w:p w14:paraId="04C55139" w14:textId="123CE35E" w:rsidR="002273DE" w:rsidRDefault="002273DE" w:rsidP="002273D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 xml:space="preserve">Newly opened </w:t>
            </w:r>
            <w:r>
              <w:rPr>
                <w:rFonts w:eastAsia="Times New Roman" w:cstheme="minorHAnsi"/>
                <w:color w:val="222222"/>
              </w:rPr>
              <w:t>P</w:t>
            </w:r>
            <w:r>
              <w:rPr>
                <w:rFonts w:eastAsia="Times New Roman" w:cstheme="minorHAnsi"/>
                <w:color w:val="222222"/>
              </w:rPr>
              <w:t>ractices</w:t>
            </w:r>
          </w:p>
        </w:tc>
      </w:tr>
      <w:tr w:rsidR="002273DE" w14:paraId="284432AD" w14:textId="77777777" w:rsidTr="002273DE">
        <w:tc>
          <w:tcPr>
            <w:tcW w:w="19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9F9F9"/>
            <w:tcMar>
              <w:top w:w="120" w:type="dxa"/>
              <w:left w:w="133" w:type="dxa"/>
              <w:bottom w:w="120" w:type="dxa"/>
              <w:right w:w="133" w:type="dxa"/>
            </w:tcMar>
            <w:vAlign w:val="center"/>
            <w:hideMark/>
          </w:tcPr>
          <w:p w14:paraId="74B0309F" w14:textId="77777777" w:rsidR="002273DE" w:rsidRDefault="002273DE" w:rsidP="002273D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2013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9F9F9"/>
            <w:tcMar>
              <w:top w:w="120" w:type="dxa"/>
              <w:left w:w="133" w:type="dxa"/>
              <w:bottom w:w="120" w:type="dxa"/>
              <w:right w:w="133" w:type="dxa"/>
            </w:tcMar>
            <w:vAlign w:val="center"/>
            <w:hideMark/>
          </w:tcPr>
          <w:p w14:paraId="26463A60" w14:textId="77777777" w:rsidR="002273DE" w:rsidRDefault="002273DE" w:rsidP="002273D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9,577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9F9F9"/>
            <w:tcMar>
              <w:top w:w="120" w:type="dxa"/>
              <w:left w:w="133" w:type="dxa"/>
              <w:bottom w:w="120" w:type="dxa"/>
              <w:right w:w="133" w:type="dxa"/>
            </w:tcMar>
            <w:vAlign w:val="center"/>
            <w:hideMark/>
          </w:tcPr>
          <w:p w14:paraId="6F3A3D07" w14:textId="77777777" w:rsidR="002273DE" w:rsidRDefault="002273DE" w:rsidP="002273D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51</w:t>
            </w:r>
          </w:p>
        </w:tc>
      </w:tr>
      <w:tr w:rsidR="002273DE" w14:paraId="67DA2AFB" w14:textId="77777777" w:rsidTr="002273DE">
        <w:tc>
          <w:tcPr>
            <w:tcW w:w="19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cMar>
              <w:top w:w="120" w:type="dxa"/>
              <w:left w:w="133" w:type="dxa"/>
              <w:bottom w:w="120" w:type="dxa"/>
              <w:right w:w="133" w:type="dxa"/>
            </w:tcMar>
            <w:vAlign w:val="center"/>
            <w:hideMark/>
          </w:tcPr>
          <w:p w14:paraId="5B58D782" w14:textId="77777777" w:rsidR="002273DE" w:rsidRDefault="002273DE" w:rsidP="002273D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2014</w:t>
            </w:r>
          </w:p>
        </w:tc>
        <w:tc>
          <w:tcPr>
            <w:tcW w:w="31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cMar>
              <w:top w:w="120" w:type="dxa"/>
              <w:left w:w="133" w:type="dxa"/>
              <w:bottom w:w="120" w:type="dxa"/>
              <w:right w:w="133" w:type="dxa"/>
            </w:tcMar>
            <w:vAlign w:val="center"/>
            <w:hideMark/>
          </w:tcPr>
          <w:p w14:paraId="7A508D0F" w14:textId="77777777" w:rsidR="002273DE" w:rsidRDefault="002273DE" w:rsidP="002273D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9,559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cMar>
              <w:top w:w="120" w:type="dxa"/>
              <w:left w:w="133" w:type="dxa"/>
              <w:bottom w:w="120" w:type="dxa"/>
              <w:right w:w="133" w:type="dxa"/>
            </w:tcMar>
            <w:vAlign w:val="center"/>
            <w:hideMark/>
          </w:tcPr>
          <w:p w14:paraId="7F407BCC" w14:textId="77777777" w:rsidR="002273DE" w:rsidRDefault="002273DE" w:rsidP="002273D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63</w:t>
            </w:r>
          </w:p>
        </w:tc>
      </w:tr>
      <w:tr w:rsidR="002273DE" w14:paraId="57DC6D54" w14:textId="77777777" w:rsidTr="002273DE">
        <w:tc>
          <w:tcPr>
            <w:tcW w:w="19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9F9F9"/>
            <w:tcMar>
              <w:top w:w="120" w:type="dxa"/>
              <w:left w:w="133" w:type="dxa"/>
              <w:bottom w:w="120" w:type="dxa"/>
              <w:right w:w="133" w:type="dxa"/>
            </w:tcMar>
            <w:vAlign w:val="center"/>
            <w:hideMark/>
          </w:tcPr>
          <w:p w14:paraId="37AFD259" w14:textId="77777777" w:rsidR="002273DE" w:rsidRDefault="002273DE" w:rsidP="002273D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2015</w:t>
            </w:r>
          </w:p>
        </w:tc>
        <w:tc>
          <w:tcPr>
            <w:tcW w:w="31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9F9F9"/>
            <w:tcMar>
              <w:top w:w="120" w:type="dxa"/>
              <w:left w:w="133" w:type="dxa"/>
              <w:bottom w:w="120" w:type="dxa"/>
              <w:right w:w="133" w:type="dxa"/>
            </w:tcMar>
            <w:vAlign w:val="center"/>
            <w:hideMark/>
          </w:tcPr>
          <w:p w14:paraId="6F258123" w14:textId="77777777" w:rsidR="002273DE" w:rsidRDefault="002273DE" w:rsidP="002273D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9,646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shd w:val="clear" w:color="auto" w:fill="F9F9F9"/>
            <w:tcMar>
              <w:top w:w="120" w:type="dxa"/>
              <w:left w:w="133" w:type="dxa"/>
              <w:bottom w:w="120" w:type="dxa"/>
              <w:right w:w="133" w:type="dxa"/>
            </w:tcMar>
            <w:vAlign w:val="center"/>
            <w:hideMark/>
          </w:tcPr>
          <w:p w14:paraId="0CD80FA2" w14:textId="77777777" w:rsidR="002273DE" w:rsidRDefault="002273DE" w:rsidP="002273D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154</w:t>
            </w:r>
          </w:p>
        </w:tc>
      </w:tr>
      <w:tr w:rsidR="002273DE" w14:paraId="3FC65C47" w14:textId="77777777" w:rsidTr="002273DE">
        <w:tc>
          <w:tcPr>
            <w:tcW w:w="19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cMar>
              <w:top w:w="120" w:type="dxa"/>
              <w:left w:w="133" w:type="dxa"/>
              <w:bottom w:w="120" w:type="dxa"/>
              <w:right w:w="133" w:type="dxa"/>
            </w:tcMar>
            <w:vAlign w:val="center"/>
            <w:hideMark/>
          </w:tcPr>
          <w:p w14:paraId="3E5B0130" w14:textId="77777777" w:rsidR="002273DE" w:rsidRDefault="002273DE" w:rsidP="002273D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2016</w:t>
            </w:r>
          </w:p>
        </w:tc>
        <w:tc>
          <w:tcPr>
            <w:tcW w:w="31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cMar>
              <w:top w:w="120" w:type="dxa"/>
              <w:left w:w="133" w:type="dxa"/>
              <w:bottom w:w="120" w:type="dxa"/>
              <w:right w:w="133" w:type="dxa"/>
            </w:tcMar>
            <w:vAlign w:val="center"/>
            <w:hideMark/>
          </w:tcPr>
          <w:p w14:paraId="444967D4" w14:textId="77777777" w:rsidR="002273DE" w:rsidRDefault="002273DE" w:rsidP="002273D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9,540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cMar>
              <w:top w:w="120" w:type="dxa"/>
              <w:left w:w="133" w:type="dxa"/>
              <w:bottom w:w="120" w:type="dxa"/>
              <w:right w:w="133" w:type="dxa"/>
            </w:tcMar>
            <w:vAlign w:val="center"/>
            <w:hideMark/>
          </w:tcPr>
          <w:p w14:paraId="4F20FE3D" w14:textId="77777777" w:rsidR="002273DE" w:rsidRDefault="002273DE" w:rsidP="002273D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99</w:t>
            </w:r>
          </w:p>
        </w:tc>
      </w:tr>
      <w:tr w:rsidR="002273DE" w14:paraId="5A1E6640" w14:textId="77777777" w:rsidTr="002273DE">
        <w:tc>
          <w:tcPr>
            <w:tcW w:w="19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9F9F9"/>
            <w:tcMar>
              <w:top w:w="120" w:type="dxa"/>
              <w:left w:w="133" w:type="dxa"/>
              <w:bottom w:w="120" w:type="dxa"/>
              <w:right w:w="133" w:type="dxa"/>
            </w:tcMar>
            <w:vAlign w:val="center"/>
            <w:hideMark/>
          </w:tcPr>
          <w:p w14:paraId="37CEDBC5" w14:textId="77777777" w:rsidR="002273DE" w:rsidRDefault="002273DE" w:rsidP="002273D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2017</w:t>
            </w:r>
          </w:p>
        </w:tc>
        <w:tc>
          <w:tcPr>
            <w:tcW w:w="31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9F9F9"/>
            <w:tcMar>
              <w:top w:w="120" w:type="dxa"/>
              <w:left w:w="133" w:type="dxa"/>
              <w:bottom w:w="120" w:type="dxa"/>
              <w:right w:w="133" w:type="dxa"/>
            </w:tcMar>
            <w:vAlign w:val="center"/>
            <w:hideMark/>
          </w:tcPr>
          <w:p w14:paraId="15D1F574" w14:textId="77777777" w:rsidR="002273DE" w:rsidRDefault="002273DE" w:rsidP="002273D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9,460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shd w:val="clear" w:color="auto" w:fill="F9F9F9"/>
            <w:tcMar>
              <w:top w:w="120" w:type="dxa"/>
              <w:left w:w="133" w:type="dxa"/>
              <w:bottom w:w="120" w:type="dxa"/>
              <w:right w:w="133" w:type="dxa"/>
            </w:tcMar>
            <w:vAlign w:val="center"/>
            <w:hideMark/>
          </w:tcPr>
          <w:p w14:paraId="32C2114C" w14:textId="77777777" w:rsidR="002273DE" w:rsidRDefault="002273DE" w:rsidP="002273D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118</w:t>
            </w:r>
          </w:p>
        </w:tc>
      </w:tr>
      <w:tr w:rsidR="002273DE" w14:paraId="4CAE5EEC" w14:textId="77777777" w:rsidTr="002273DE">
        <w:tc>
          <w:tcPr>
            <w:tcW w:w="19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cMar>
              <w:top w:w="120" w:type="dxa"/>
              <w:left w:w="133" w:type="dxa"/>
              <w:bottom w:w="120" w:type="dxa"/>
              <w:right w:w="133" w:type="dxa"/>
            </w:tcMar>
            <w:vAlign w:val="center"/>
            <w:hideMark/>
          </w:tcPr>
          <w:p w14:paraId="5B4596B1" w14:textId="77777777" w:rsidR="002273DE" w:rsidRDefault="002273DE" w:rsidP="002273D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2018</w:t>
            </w:r>
          </w:p>
        </w:tc>
        <w:tc>
          <w:tcPr>
            <w:tcW w:w="31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cMar>
              <w:top w:w="120" w:type="dxa"/>
              <w:left w:w="133" w:type="dxa"/>
              <w:bottom w:w="120" w:type="dxa"/>
              <w:right w:w="133" w:type="dxa"/>
            </w:tcMar>
            <w:vAlign w:val="center"/>
            <w:hideMark/>
          </w:tcPr>
          <w:p w14:paraId="17B2DE4B" w14:textId="77777777" w:rsidR="002273DE" w:rsidRDefault="002273DE" w:rsidP="002273D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9,463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cMar>
              <w:top w:w="120" w:type="dxa"/>
              <w:left w:w="133" w:type="dxa"/>
              <w:bottom w:w="120" w:type="dxa"/>
              <w:right w:w="133" w:type="dxa"/>
            </w:tcMar>
            <w:vAlign w:val="center"/>
            <w:hideMark/>
          </w:tcPr>
          <w:p w14:paraId="44069C7E" w14:textId="77777777" w:rsidR="002273DE" w:rsidRDefault="002273DE" w:rsidP="002273D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203</w:t>
            </w:r>
          </w:p>
        </w:tc>
      </w:tr>
      <w:tr w:rsidR="002273DE" w14:paraId="5FA57A12" w14:textId="77777777" w:rsidTr="002273DE">
        <w:tc>
          <w:tcPr>
            <w:tcW w:w="19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9F9F9"/>
            <w:tcMar>
              <w:top w:w="120" w:type="dxa"/>
              <w:left w:w="133" w:type="dxa"/>
              <w:bottom w:w="120" w:type="dxa"/>
              <w:right w:w="133" w:type="dxa"/>
            </w:tcMar>
            <w:vAlign w:val="center"/>
            <w:hideMark/>
          </w:tcPr>
          <w:p w14:paraId="587C52B5" w14:textId="77777777" w:rsidR="002273DE" w:rsidRDefault="002273DE" w:rsidP="002273D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2019</w:t>
            </w:r>
          </w:p>
        </w:tc>
        <w:tc>
          <w:tcPr>
            <w:tcW w:w="31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9F9F9"/>
            <w:tcMar>
              <w:top w:w="120" w:type="dxa"/>
              <w:left w:w="133" w:type="dxa"/>
              <w:bottom w:w="120" w:type="dxa"/>
              <w:right w:w="133" w:type="dxa"/>
            </w:tcMar>
            <w:vAlign w:val="center"/>
            <w:hideMark/>
          </w:tcPr>
          <w:p w14:paraId="347DD4D4" w14:textId="77777777" w:rsidR="002273DE" w:rsidRDefault="002273DE" w:rsidP="002273D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9,326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shd w:val="clear" w:color="auto" w:fill="F9F9F9"/>
            <w:tcMar>
              <w:top w:w="120" w:type="dxa"/>
              <w:left w:w="133" w:type="dxa"/>
              <w:bottom w:w="120" w:type="dxa"/>
              <w:right w:w="133" w:type="dxa"/>
            </w:tcMar>
            <w:vAlign w:val="center"/>
            <w:hideMark/>
          </w:tcPr>
          <w:p w14:paraId="5A5A9225" w14:textId="77777777" w:rsidR="002273DE" w:rsidRDefault="002273DE" w:rsidP="002273D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168</w:t>
            </w:r>
          </w:p>
        </w:tc>
      </w:tr>
      <w:tr w:rsidR="002273DE" w14:paraId="4DA3459D" w14:textId="77777777" w:rsidTr="002273DE">
        <w:tc>
          <w:tcPr>
            <w:tcW w:w="19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cMar>
              <w:top w:w="120" w:type="dxa"/>
              <w:left w:w="133" w:type="dxa"/>
              <w:bottom w:w="120" w:type="dxa"/>
              <w:right w:w="133" w:type="dxa"/>
            </w:tcMar>
            <w:vAlign w:val="center"/>
            <w:hideMark/>
          </w:tcPr>
          <w:p w14:paraId="6A48DC34" w14:textId="77777777" w:rsidR="002273DE" w:rsidRDefault="002273DE" w:rsidP="002273D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2020</w:t>
            </w:r>
          </w:p>
        </w:tc>
        <w:tc>
          <w:tcPr>
            <w:tcW w:w="31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cMar>
              <w:top w:w="120" w:type="dxa"/>
              <w:left w:w="133" w:type="dxa"/>
              <w:bottom w:w="120" w:type="dxa"/>
              <w:right w:w="133" w:type="dxa"/>
            </w:tcMar>
            <w:vAlign w:val="center"/>
            <w:hideMark/>
          </w:tcPr>
          <w:p w14:paraId="0834A4AA" w14:textId="77777777" w:rsidR="002273DE" w:rsidRDefault="002273DE" w:rsidP="002273D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9,168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cMar>
              <w:top w:w="120" w:type="dxa"/>
              <w:left w:w="133" w:type="dxa"/>
              <w:bottom w:w="120" w:type="dxa"/>
              <w:right w:w="133" w:type="dxa"/>
            </w:tcMar>
            <w:vAlign w:val="center"/>
            <w:hideMark/>
          </w:tcPr>
          <w:p w14:paraId="669DC534" w14:textId="77777777" w:rsidR="002273DE" w:rsidRDefault="002273DE" w:rsidP="002273D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97</w:t>
            </w:r>
          </w:p>
        </w:tc>
      </w:tr>
      <w:tr w:rsidR="002273DE" w14:paraId="4743C398" w14:textId="77777777" w:rsidTr="002273DE">
        <w:tc>
          <w:tcPr>
            <w:tcW w:w="19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9F9F9"/>
            <w:tcMar>
              <w:top w:w="120" w:type="dxa"/>
              <w:left w:w="133" w:type="dxa"/>
              <w:bottom w:w="120" w:type="dxa"/>
              <w:right w:w="133" w:type="dxa"/>
            </w:tcMar>
            <w:vAlign w:val="center"/>
            <w:hideMark/>
          </w:tcPr>
          <w:p w14:paraId="0BB27D31" w14:textId="77777777" w:rsidR="002273DE" w:rsidRDefault="002273DE" w:rsidP="002273D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2021</w:t>
            </w:r>
          </w:p>
        </w:tc>
        <w:tc>
          <w:tcPr>
            <w:tcW w:w="31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9F9F9"/>
            <w:tcMar>
              <w:top w:w="120" w:type="dxa"/>
              <w:left w:w="133" w:type="dxa"/>
              <w:bottom w:w="120" w:type="dxa"/>
              <w:right w:w="133" w:type="dxa"/>
            </w:tcMar>
            <w:vAlign w:val="center"/>
            <w:hideMark/>
          </w:tcPr>
          <w:p w14:paraId="59797C84" w14:textId="77777777" w:rsidR="002273DE" w:rsidRDefault="002273DE" w:rsidP="002273D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9,097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shd w:val="clear" w:color="auto" w:fill="F9F9F9"/>
            <w:tcMar>
              <w:top w:w="120" w:type="dxa"/>
              <w:left w:w="133" w:type="dxa"/>
              <w:bottom w:w="120" w:type="dxa"/>
              <w:right w:w="133" w:type="dxa"/>
            </w:tcMar>
            <w:vAlign w:val="center"/>
            <w:hideMark/>
          </w:tcPr>
          <w:p w14:paraId="24AACB3E" w14:textId="77777777" w:rsidR="002273DE" w:rsidRDefault="002273DE" w:rsidP="002273D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72</w:t>
            </w:r>
          </w:p>
        </w:tc>
      </w:tr>
      <w:tr w:rsidR="002273DE" w14:paraId="76F6A42B" w14:textId="77777777" w:rsidTr="002273DE">
        <w:tc>
          <w:tcPr>
            <w:tcW w:w="19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cMar>
              <w:top w:w="120" w:type="dxa"/>
              <w:left w:w="133" w:type="dxa"/>
              <w:bottom w:w="120" w:type="dxa"/>
              <w:right w:w="133" w:type="dxa"/>
            </w:tcMar>
            <w:vAlign w:val="center"/>
            <w:hideMark/>
          </w:tcPr>
          <w:p w14:paraId="0DB36F4B" w14:textId="77777777" w:rsidR="002273DE" w:rsidRDefault="002273DE" w:rsidP="002273D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2022</w:t>
            </w:r>
          </w:p>
        </w:tc>
        <w:tc>
          <w:tcPr>
            <w:tcW w:w="31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cMar>
              <w:top w:w="120" w:type="dxa"/>
              <w:left w:w="133" w:type="dxa"/>
              <w:bottom w:w="120" w:type="dxa"/>
              <w:right w:w="133" w:type="dxa"/>
            </w:tcMar>
            <w:vAlign w:val="center"/>
            <w:hideMark/>
          </w:tcPr>
          <w:p w14:paraId="37C15841" w14:textId="77777777" w:rsidR="002273DE" w:rsidRDefault="002273DE" w:rsidP="002273D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9,015</w:t>
            </w:r>
          </w:p>
        </w:tc>
        <w:tc>
          <w:tcPr>
            <w:tcW w:w="382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cMar>
              <w:top w:w="120" w:type="dxa"/>
              <w:left w:w="133" w:type="dxa"/>
              <w:bottom w:w="120" w:type="dxa"/>
              <w:right w:w="133" w:type="dxa"/>
            </w:tcMar>
            <w:vAlign w:val="center"/>
            <w:hideMark/>
          </w:tcPr>
          <w:p w14:paraId="0F637E72" w14:textId="77777777" w:rsidR="002273DE" w:rsidRDefault="002273DE" w:rsidP="002273D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99</w:t>
            </w:r>
          </w:p>
        </w:tc>
      </w:tr>
      <w:tr w:rsidR="002273DE" w14:paraId="589B5349" w14:textId="77777777" w:rsidTr="002273DE">
        <w:tc>
          <w:tcPr>
            <w:tcW w:w="19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9F9F9"/>
            <w:tcMar>
              <w:top w:w="120" w:type="dxa"/>
              <w:left w:w="133" w:type="dxa"/>
              <w:bottom w:w="120" w:type="dxa"/>
              <w:right w:w="133" w:type="dxa"/>
            </w:tcMar>
            <w:vAlign w:val="center"/>
            <w:hideMark/>
          </w:tcPr>
          <w:p w14:paraId="6F04EDC5" w14:textId="77777777" w:rsidR="002273DE" w:rsidRDefault="002273DE" w:rsidP="002273D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2023</w:t>
            </w:r>
          </w:p>
        </w:tc>
        <w:tc>
          <w:tcPr>
            <w:tcW w:w="31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9F9F9"/>
            <w:tcMar>
              <w:top w:w="120" w:type="dxa"/>
              <w:left w:w="133" w:type="dxa"/>
              <w:bottom w:w="120" w:type="dxa"/>
              <w:right w:w="133" w:type="dxa"/>
            </w:tcMar>
            <w:vAlign w:val="center"/>
            <w:hideMark/>
          </w:tcPr>
          <w:p w14:paraId="2B228AFD" w14:textId="77777777" w:rsidR="002273DE" w:rsidRDefault="002273DE" w:rsidP="002273D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9,025</w:t>
            </w:r>
          </w:p>
        </w:tc>
        <w:tc>
          <w:tcPr>
            <w:tcW w:w="38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9F9F9"/>
            <w:tcMar>
              <w:top w:w="120" w:type="dxa"/>
              <w:left w:w="133" w:type="dxa"/>
              <w:bottom w:w="120" w:type="dxa"/>
              <w:right w:w="133" w:type="dxa"/>
            </w:tcMar>
            <w:vAlign w:val="center"/>
            <w:hideMark/>
          </w:tcPr>
          <w:p w14:paraId="673ADF74" w14:textId="77777777" w:rsidR="002273DE" w:rsidRDefault="002273DE" w:rsidP="002273D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cstheme="minorHAnsi"/>
                <w:color w:val="222222"/>
              </w:rPr>
              <w:t>129</w:t>
            </w:r>
          </w:p>
        </w:tc>
      </w:tr>
      <w:tr w:rsidR="002273DE" w14:paraId="027A1A96" w14:textId="77777777" w:rsidTr="002273DE">
        <w:tc>
          <w:tcPr>
            <w:tcW w:w="1970" w:type="dxa"/>
            <w:tcBorders>
              <w:top w:val="doub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tcMar>
              <w:top w:w="120" w:type="dxa"/>
              <w:left w:w="133" w:type="dxa"/>
              <w:bottom w:w="120" w:type="dxa"/>
              <w:right w:w="133" w:type="dxa"/>
            </w:tcMar>
            <w:vAlign w:val="center"/>
          </w:tcPr>
          <w:p w14:paraId="6953624D" w14:textId="77777777" w:rsidR="002273DE" w:rsidRDefault="002273DE" w:rsidP="002273D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tcMar>
              <w:top w:w="120" w:type="dxa"/>
              <w:left w:w="133" w:type="dxa"/>
              <w:bottom w:w="120" w:type="dxa"/>
              <w:right w:w="133" w:type="dxa"/>
            </w:tcMar>
            <w:vAlign w:val="center"/>
          </w:tcPr>
          <w:p w14:paraId="3EEF25F9" w14:textId="77777777" w:rsidR="002273DE" w:rsidRDefault="002273DE" w:rsidP="002273D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tcMar>
              <w:top w:w="120" w:type="dxa"/>
              <w:left w:w="133" w:type="dxa"/>
              <w:bottom w:w="120" w:type="dxa"/>
              <w:right w:w="133" w:type="dxa"/>
            </w:tcMar>
            <w:vAlign w:val="center"/>
          </w:tcPr>
          <w:p w14:paraId="7790A0EA" w14:textId="77777777" w:rsidR="002273DE" w:rsidRDefault="002273DE" w:rsidP="002273D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</w:tr>
    </w:tbl>
    <w:p w14:paraId="59D6F1CF" w14:textId="13A73F7E" w:rsidR="002273DE" w:rsidRDefault="002273DE" w:rsidP="002273DE">
      <w:pPr>
        <w:shd w:val="clear" w:color="auto" w:fill="FFFFFF" w:themeFill="background1"/>
        <w:spacing w:after="240" w:line="384" w:lineRule="atLeast"/>
        <w:jc w:val="both"/>
        <w:rPr>
          <w:rFonts w:ascii="Calibri" w:eastAsia="Times New Roman" w:hAnsi="Calibri" w:cstheme="minorHAnsi"/>
          <w:color w:val="333333"/>
        </w:rPr>
      </w:pPr>
      <w:r w:rsidRPr="002273DE">
        <w:rPr>
          <w:rFonts w:eastAsia="Times New Roman" w:cstheme="minorHAnsi"/>
          <w:color w:val="333333"/>
          <w:u w:val="single"/>
        </w:rPr>
        <w:lastRenderedPageBreak/>
        <w:t>Source</w:t>
      </w:r>
      <w:r>
        <w:rPr>
          <w:rFonts w:eastAsia="Times New Roman" w:cstheme="minorHAnsi"/>
          <w:color w:val="333333"/>
        </w:rPr>
        <w:t xml:space="preserve">: </w:t>
      </w:r>
      <w:r>
        <w:rPr>
          <w:rFonts w:eastAsia="Times New Roman" w:cstheme="minorHAnsi"/>
          <w:color w:val="333333"/>
        </w:rPr>
        <w:t>D</w:t>
      </w:r>
      <w:r>
        <w:rPr>
          <w:rFonts w:eastAsia="Times New Roman" w:cstheme="minorHAnsi"/>
          <w:color w:val="333333"/>
        </w:rPr>
        <w:t xml:space="preserve">ata provided is from the </w:t>
      </w:r>
      <w:proofErr w:type="spellStart"/>
      <w:r>
        <w:rPr>
          <w:rFonts w:eastAsia="Times New Roman" w:cstheme="minorHAnsi"/>
          <w:color w:val="333333"/>
        </w:rPr>
        <w:t>Epraccur</w:t>
      </w:r>
      <w:proofErr w:type="spellEnd"/>
      <w:r>
        <w:rPr>
          <w:rFonts w:eastAsia="Times New Roman" w:cstheme="minorHAnsi"/>
          <w:color w:val="333333"/>
        </w:rPr>
        <w:t> </w:t>
      </w:r>
      <w:hyperlink r:id="rId9" w:history="1">
        <w:r>
          <w:rPr>
            <w:rStyle w:val="Hyperlink"/>
            <w:rFonts w:eastAsia="Times New Roman" w:cstheme="minorHAnsi"/>
            <w:color w:val="4FADED"/>
          </w:rPr>
          <w:t>GP</w:t>
        </w:r>
      </w:hyperlink>
      <w:r>
        <w:rPr>
          <w:rFonts w:eastAsia="Times New Roman" w:cstheme="minorHAnsi"/>
          <w:color w:val="333333"/>
        </w:rPr>
        <w:t> Practice data file, which is produced by </w:t>
      </w:r>
      <w:hyperlink r:id="rId10" w:history="1">
        <w:r>
          <w:rPr>
            <w:rStyle w:val="Hyperlink"/>
            <w:rFonts w:eastAsia="Times New Roman" w:cstheme="minorHAnsi"/>
            <w:color w:val="4FADED"/>
          </w:rPr>
          <w:t>NHS</w:t>
        </w:r>
      </w:hyperlink>
      <w:r>
        <w:rPr>
          <w:rFonts w:eastAsia="Times New Roman" w:cstheme="minorHAnsi"/>
          <w:color w:val="333333"/>
        </w:rPr>
        <w:t> Organisation Data Service.</w:t>
      </w:r>
    </w:p>
    <w:p w14:paraId="26076752" w14:textId="44D20B84" w:rsidR="002273DE" w:rsidRDefault="002273DE" w:rsidP="002273DE">
      <w:pPr>
        <w:shd w:val="clear" w:color="auto" w:fill="FFFFFF" w:themeFill="background1"/>
        <w:spacing w:after="240" w:line="384" w:lineRule="atLeast"/>
        <w:jc w:val="both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Note: The data includes </w:t>
      </w:r>
      <w:r>
        <w:rPr>
          <w:rFonts w:eastAsia="Times New Roman" w:cstheme="minorHAnsi"/>
          <w:color w:val="333333"/>
        </w:rPr>
        <w:t>M</w:t>
      </w:r>
      <w:r>
        <w:rPr>
          <w:rFonts w:eastAsia="Times New Roman" w:cstheme="minorHAnsi"/>
          <w:color w:val="333333"/>
        </w:rPr>
        <w:t xml:space="preserve">ain and </w:t>
      </w:r>
      <w:r>
        <w:rPr>
          <w:rFonts w:eastAsia="Times New Roman" w:cstheme="minorHAnsi"/>
          <w:color w:val="333333"/>
        </w:rPr>
        <w:t>B</w:t>
      </w:r>
      <w:r>
        <w:rPr>
          <w:rFonts w:eastAsia="Times New Roman" w:cstheme="minorHAnsi"/>
          <w:color w:val="333333"/>
        </w:rPr>
        <w:t xml:space="preserve">ranch </w:t>
      </w:r>
      <w:r>
        <w:rPr>
          <w:rFonts w:eastAsia="Times New Roman" w:cstheme="minorHAnsi"/>
          <w:color w:val="333333"/>
        </w:rPr>
        <w:t>P</w:t>
      </w:r>
      <w:r>
        <w:rPr>
          <w:rFonts w:eastAsia="Times New Roman" w:cstheme="minorHAnsi"/>
          <w:color w:val="333333"/>
        </w:rPr>
        <w:t>ractices, while </w:t>
      </w:r>
      <w:hyperlink r:id="rId11" w:history="1">
        <w:r>
          <w:rPr>
            <w:rStyle w:val="Hyperlink"/>
            <w:rFonts w:eastAsia="Times New Roman" w:cstheme="minorHAnsi"/>
            <w:color w:val="4FADED"/>
          </w:rPr>
          <w:t>COVID-19</w:t>
        </w:r>
      </w:hyperlink>
      <w:r>
        <w:rPr>
          <w:rFonts w:eastAsia="Times New Roman" w:cstheme="minorHAnsi"/>
          <w:color w:val="333333"/>
        </w:rPr>
        <w:t> </w:t>
      </w:r>
      <w:r>
        <w:rPr>
          <w:rFonts w:eastAsia="Times New Roman" w:cstheme="minorHAnsi"/>
          <w:color w:val="333333"/>
        </w:rPr>
        <w:t>S</w:t>
      </w:r>
      <w:r>
        <w:rPr>
          <w:rFonts w:eastAsia="Times New Roman" w:cstheme="minorHAnsi"/>
          <w:color w:val="333333"/>
        </w:rPr>
        <w:t xml:space="preserve">ervice </w:t>
      </w:r>
      <w:r>
        <w:rPr>
          <w:rFonts w:eastAsia="Times New Roman" w:cstheme="minorHAnsi"/>
          <w:color w:val="333333"/>
        </w:rPr>
        <w:t>B</w:t>
      </w:r>
      <w:r>
        <w:rPr>
          <w:rFonts w:eastAsia="Times New Roman" w:cstheme="minorHAnsi"/>
          <w:color w:val="333333"/>
        </w:rPr>
        <w:t>ranches have been excluded.</w:t>
      </w:r>
    </w:p>
    <w:p w14:paraId="2B97AA7A" w14:textId="77777777" w:rsidR="002273DE" w:rsidRDefault="002273DE" w:rsidP="002273DE">
      <w:pPr>
        <w:shd w:val="clear" w:color="auto" w:fill="FFFFFF" w:themeFill="background1"/>
        <w:spacing w:line="384" w:lineRule="atLeast"/>
        <w:jc w:val="both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It is not possible for us to distinguish between open and operating </w:t>
      </w:r>
      <w:r>
        <w:rPr>
          <w:rFonts w:eastAsia="Times New Roman" w:cstheme="minorHAnsi"/>
          <w:color w:val="333333"/>
        </w:rPr>
        <w:t>P</w:t>
      </w:r>
      <w:r>
        <w:rPr>
          <w:rFonts w:eastAsia="Times New Roman" w:cstheme="minorHAnsi"/>
          <w:color w:val="333333"/>
        </w:rPr>
        <w:t xml:space="preserve">ractices. Newly opened </w:t>
      </w:r>
      <w:r>
        <w:rPr>
          <w:rFonts w:eastAsia="Times New Roman" w:cstheme="minorHAnsi"/>
          <w:color w:val="333333"/>
        </w:rPr>
        <w:t>P</w:t>
      </w:r>
      <w:r>
        <w:rPr>
          <w:rFonts w:eastAsia="Times New Roman" w:cstheme="minorHAnsi"/>
          <w:color w:val="333333"/>
        </w:rPr>
        <w:t xml:space="preserve">ractices are defined as having opened within the 12 months up to the date referenced. </w:t>
      </w:r>
    </w:p>
    <w:p w14:paraId="05137575" w14:textId="56445634" w:rsidR="002273DE" w:rsidRDefault="002273DE" w:rsidP="002273DE">
      <w:pPr>
        <w:shd w:val="clear" w:color="auto" w:fill="FFFFFF" w:themeFill="background1"/>
        <w:spacing w:line="384" w:lineRule="atLeast"/>
        <w:jc w:val="both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Additionally, new </w:t>
      </w:r>
      <w:r>
        <w:rPr>
          <w:rFonts w:eastAsia="Times New Roman" w:cstheme="minorHAnsi"/>
          <w:color w:val="333333"/>
        </w:rPr>
        <w:t>B</w:t>
      </w:r>
      <w:r>
        <w:rPr>
          <w:rFonts w:eastAsia="Times New Roman" w:cstheme="minorHAnsi"/>
          <w:color w:val="333333"/>
        </w:rPr>
        <w:t xml:space="preserve">ranch </w:t>
      </w:r>
      <w:r>
        <w:rPr>
          <w:rFonts w:eastAsia="Times New Roman" w:cstheme="minorHAnsi"/>
          <w:color w:val="333333"/>
        </w:rPr>
        <w:t>P</w:t>
      </w:r>
      <w:r>
        <w:rPr>
          <w:rFonts w:eastAsia="Times New Roman" w:cstheme="minorHAnsi"/>
          <w:color w:val="333333"/>
        </w:rPr>
        <w:t xml:space="preserve">ractice openings include pre-existing </w:t>
      </w:r>
      <w:r>
        <w:rPr>
          <w:rFonts w:eastAsia="Times New Roman" w:cstheme="minorHAnsi"/>
          <w:color w:val="333333"/>
        </w:rPr>
        <w:t>P</w:t>
      </w:r>
      <w:r>
        <w:rPr>
          <w:rFonts w:eastAsia="Times New Roman" w:cstheme="minorHAnsi"/>
          <w:color w:val="333333"/>
        </w:rPr>
        <w:t xml:space="preserve">ractices that reopened as a </w:t>
      </w:r>
      <w:r>
        <w:rPr>
          <w:rFonts w:eastAsia="Times New Roman" w:cstheme="minorHAnsi"/>
          <w:color w:val="333333"/>
        </w:rPr>
        <w:t>B</w:t>
      </w:r>
      <w:r>
        <w:rPr>
          <w:rFonts w:eastAsia="Times New Roman" w:cstheme="minorHAnsi"/>
          <w:color w:val="333333"/>
        </w:rPr>
        <w:t xml:space="preserve">ranch of another </w:t>
      </w:r>
      <w:r>
        <w:rPr>
          <w:rFonts w:eastAsia="Times New Roman" w:cstheme="minorHAnsi"/>
          <w:color w:val="333333"/>
        </w:rPr>
        <w:t>P</w:t>
      </w:r>
      <w:r>
        <w:rPr>
          <w:rFonts w:eastAsia="Times New Roman" w:cstheme="minorHAnsi"/>
          <w:color w:val="333333"/>
        </w:rPr>
        <w:t>ractice.</w:t>
      </w:r>
    </w:p>
    <w:p w14:paraId="30CAF35C" w14:textId="77777777" w:rsidR="002273DE" w:rsidRDefault="002273DE"/>
    <w:sectPr w:rsidR="002273DE" w:rsidSect="002273DE">
      <w:footerReference w:type="default" r:id="rId12"/>
      <w:pgSz w:w="11906" w:h="16838"/>
      <w:pgMar w:top="1701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A583F" w14:textId="77777777" w:rsidR="002273DE" w:rsidRDefault="002273DE" w:rsidP="002273DE">
      <w:pPr>
        <w:spacing w:after="0" w:line="240" w:lineRule="auto"/>
      </w:pPr>
      <w:r>
        <w:separator/>
      </w:r>
    </w:p>
  </w:endnote>
  <w:endnote w:type="continuationSeparator" w:id="0">
    <w:p w14:paraId="3A31E2E4" w14:textId="77777777" w:rsidR="002273DE" w:rsidRDefault="002273DE" w:rsidP="0022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338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DE5F71" w14:textId="33F35656" w:rsidR="002273DE" w:rsidRDefault="002273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248535" w14:textId="77777777" w:rsidR="002273DE" w:rsidRDefault="00227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66FB8" w14:textId="77777777" w:rsidR="002273DE" w:rsidRDefault="002273DE" w:rsidP="002273DE">
      <w:pPr>
        <w:spacing w:after="0" w:line="240" w:lineRule="auto"/>
      </w:pPr>
      <w:r>
        <w:separator/>
      </w:r>
    </w:p>
  </w:footnote>
  <w:footnote w:type="continuationSeparator" w:id="0">
    <w:p w14:paraId="5C6388AC" w14:textId="77777777" w:rsidR="002273DE" w:rsidRDefault="002273DE" w:rsidP="00227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B3177"/>
    <w:multiLevelType w:val="multilevel"/>
    <w:tmpl w:val="C570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3257973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3DE"/>
    <w:rsid w:val="00092E15"/>
    <w:rsid w:val="002273DE"/>
    <w:rsid w:val="003B4D69"/>
    <w:rsid w:val="004D37C0"/>
    <w:rsid w:val="00667753"/>
    <w:rsid w:val="006A35D0"/>
    <w:rsid w:val="006E2A55"/>
    <w:rsid w:val="00720B0F"/>
    <w:rsid w:val="009254E9"/>
    <w:rsid w:val="009C25E3"/>
    <w:rsid w:val="00F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26085"/>
  <w15:chartTrackingRefBased/>
  <w15:docId w15:val="{8FD4CD38-BDE3-439E-AFC8-328F3A2B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Historic" w:eastAsiaTheme="minorHAnsi" w:hAnsi="Segoe UI Historic" w:cs="Segoe UI Historic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73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7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3DE"/>
  </w:style>
  <w:style w:type="paragraph" w:styleId="Footer">
    <w:name w:val="footer"/>
    <w:basedOn w:val="Normal"/>
    <w:link w:val="FooterChar"/>
    <w:uiPriority w:val="99"/>
    <w:unhideWhenUsed/>
    <w:rsid w:val="00227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estions-statements.parliament.uk/written-questions/detail/2024-02-07/HL228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G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COVID-1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n.wikipedia.org/wiki/NH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G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2024-02-22T12:17:00Z</dcterms:created>
  <dcterms:modified xsi:type="dcterms:W3CDTF">2024-02-22T12:24:00Z</dcterms:modified>
</cp:coreProperties>
</file>